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918" w:rsidRDefault="001F7918" w:rsidP="00ED408F">
      <w:pPr>
        <w:pStyle w:val="Titre1"/>
        <w:numPr>
          <w:ilvl w:val="0"/>
          <w:numId w:val="0"/>
        </w:numPr>
        <w:jc w:val="center"/>
        <w:rPr>
          <w:szCs w:val="36"/>
        </w:rPr>
      </w:pPr>
    </w:p>
    <w:p w:rsidR="001F7918" w:rsidRDefault="001F7918" w:rsidP="00ED408F">
      <w:pPr>
        <w:pStyle w:val="Titre1"/>
        <w:numPr>
          <w:ilvl w:val="0"/>
          <w:numId w:val="0"/>
        </w:numPr>
        <w:jc w:val="center"/>
        <w:rPr>
          <w:szCs w:val="36"/>
        </w:rPr>
      </w:pPr>
    </w:p>
    <w:p w:rsidR="00ED408F" w:rsidRPr="001F7918" w:rsidRDefault="005D7EED" w:rsidP="00ED408F">
      <w:pPr>
        <w:pStyle w:val="Titre1"/>
        <w:numPr>
          <w:ilvl w:val="0"/>
          <w:numId w:val="0"/>
        </w:numPr>
        <w:jc w:val="center"/>
        <w:rPr>
          <w:szCs w:val="36"/>
        </w:rPr>
      </w:pPr>
      <w:r w:rsidRPr="001F7918">
        <w:rPr>
          <w:szCs w:val="36"/>
        </w:rPr>
        <w:t>LES FRANÇAIS, L’</w:t>
      </w:r>
      <w:r w:rsidR="000D1561" w:rsidRPr="001F7918">
        <w:rPr>
          <w:szCs w:val="36"/>
        </w:rPr>
        <w:t>ÉPARGNE, LA RETRAITE</w:t>
      </w:r>
    </w:p>
    <w:p w:rsidR="008441E3" w:rsidRPr="001F7918" w:rsidRDefault="000D1561" w:rsidP="00ED408F">
      <w:pPr>
        <w:pStyle w:val="Titre1"/>
        <w:numPr>
          <w:ilvl w:val="0"/>
          <w:numId w:val="0"/>
        </w:numPr>
        <w:jc w:val="center"/>
        <w:rPr>
          <w:szCs w:val="36"/>
        </w:rPr>
      </w:pPr>
      <w:r w:rsidRPr="001F7918">
        <w:rPr>
          <w:szCs w:val="36"/>
        </w:rPr>
        <w:t>ET LA DÉ</w:t>
      </w:r>
      <w:r w:rsidR="005D7EED" w:rsidRPr="001F7918">
        <w:rPr>
          <w:szCs w:val="36"/>
        </w:rPr>
        <w:t>PENDANCE</w:t>
      </w:r>
    </w:p>
    <w:p w:rsidR="000D1561" w:rsidRPr="001F7918" w:rsidRDefault="000D1561" w:rsidP="001D2C56">
      <w:pPr>
        <w:pBdr>
          <w:bottom w:val="single" w:sz="4" w:space="1" w:color="auto"/>
        </w:pBdr>
        <w:jc w:val="center"/>
        <w:rPr>
          <w:rFonts w:ascii="Arial Black" w:hAnsi="Arial Black" w:cs="Arial"/>
          <w:b/>
          <w:sz w:val="18"/>
          <w:szCs w:val="36"/>
        </w:rPr>
      </w:pPr>
    </w:p>
    <w:p w:rsidR="005D7EED" w:rsidRPr="001F7918" w:rsidRDefault="005D7EED" w:rsidP="00C15556">
      <w:pPr>
        <w:pBdr>
          <w:bottom w:val="single" w:sz="4" w:space="1" w:color="auto"/>
        </w:pBdr>
        <w:spacing w:line="276" w:lineRule="auto"/>
        <w:jc w:val="center"/>
        <w:rPr>
          <w:rFonts w:ascii="Arial Black" w:hAnsi="Arial Black" w:cs="Arial"/>
          <w:b/>
          <w:sz w:val="28"/>
          <w:szCs w:val="36"/>
        </w:rPr>
      </w:pPr>
      <w:r w:rsidRPr="001F7918">
        <w:rPr>
          <w:rFonts w:ascii="Arial Black" w:hAnsi="Arial Black" w:cs="Arial"/>
          <w:b/>
          <w:sz w:val="28"/>
          <w:szCs w:val="36"/>
        </w:rPr>
        <w:t>ENQU</w:t>
      </w:r>
      <w:r w:rsidR="000D1561" w:rsidRPr="001F7918">
        <w:rPr>
          <w:rFonts w:ascii="Arial Black" w:hAnsi="Arial Black" w:cs="Arial"/>
          <w:b/>
          <w:sz w:val="28"/>
          <w:szCs w:val="36"/>
        </w:rPr>
        <w:t>Ê</w:t>
      </w:r>
      <w:r w:rsidRPr="001F7918">
        <w:rPr>
          <w:rFonts w:ascii="Arial Black" w:hAnsi="Arial Black" w:cs="Arial"/>
          <w:b/>
          <w:sz w:val="28"/>
          <w:szCs w:val="36"/>
        </w:rPr>
        <w:t>TE 2017</w:t>
      </w:r>
    </w:p>
    <w:p w:rsidR="005D7EED" w:rsidRPr="001F7918" w:rsidRDefault="005D7EED" w:rsidP="00C15556">
      <w:pPr>
        <w:pBdr>
          <w:bottom w:val="single" w:sz="4" w:space="1" w:color="auto"/>
        </w:pBdr>
        <w:spacing w:line="276" w:lineRule="auto"/>
        <w:jc w:val="center"/>
        <w:rPr>
          <w:rFonts w:ascii="Arial Black" w:hAnsi="Arial Black" w:cs="Arial"/>
          <w:b/>
          <w:sz w:val="28"/>
          <w:szCs w:val="36"/>
        </w:rPr>
      </w:pPr>
      <w:r w:rsidRPr="001F7918">
        <w:rPr>
          <w:rFonts w:ascii="Arial Black" w:hAnsi="Arial Black" w:cs="Arial"/>
          <w:b/>
          <w:sz w:val="28"/>
          <w:szCs w:val="36"/>
        </w:rPr>
        <w:t>DU CERCLE DE L’</w:t>
      </w:r>
      <w:r w:rsidR="000D1561" w:rsidRPr="001F7918">
        <w:rPr>
          <w:rFonts w:ascii="Arial Black" w:hAnsi="Arial Black" w:cs="Arial"/>
          <w:b/>
          <w:sz w:val="28"/>
          <w:szCs w:val="36"/>
        </w:rPr>
        <w:t>É</w:t>
      </w:r>
      <w:r w:rsidRPr="001F7918">
        <w:rPr>
          <w:rFonts w:ascii="Arial Black" w:hAnsi="Arial Black" w:cs="Arial"/>
          <w:b/>
          <w:sz w:val="28"/>
          <w:szCs w:val="36"/>
        </w:rPr>
        <w:t>PARGNE – AMPHIT</w:t>
      </w:r>
      <w:r w:rsidR="005074C4" w:rsidRPr="001F7918">
        <w:rPr>
          <w:rFonts w:ascii="Arial Black" w:hAnsi="Arial Black" w:cs="Arial"/>
          <w:b/>
          <w:sz w:val="28"/>
          <w:szCs w:val="36"/>
        </w:rPr>
        <w:t>É</w:t>
      </w:r>
      <w:r w:rsidRPr="001F7918">
        <w:rPr>
          <w:rFonts w:ascii="Arial Black" w:hAnsi="Arial Black" w:cs="Arial"/>
          <w:b/>
          <w:sz w:val="28"/>
          <w:szCs w:val="36"/>
        </w:rPr>
        <w:t xml:space="preserve">A </w:t>
      </w:r>
    </w:p>
    <w:p w:rsidR="0035704A" w:rsidRPr="001F7918" w:rsidRDefault="003B07FB" w:rsidP="00C15556">
      <w:pPr>
        <w:pBdr>
          <w:bottom w:val="single" w:sz="4" w:space="1" w:color="auto"/>
        </w:pBdr>
        <w:spacing w:line="276" w:lineRule="auto"/>
        <w:jc w:val="center"/>
        <w:rPr>
          <w:rFonts w:ascii="Arial Black" w:hAnsi="Arial Black" w:cs="Arial"/>
          <w:b/>
          <w:sz w:val="28"/>
          <w:szCs w:val="36"/>
        </w:rPr>
      </w:pPr>
      <w:r w:rsidRPr="001F7918">
        <w:rPr>
          <w:rFonts w:ascii="Arial Black" w:hAnsi="Arial Black" w:cs="Arial"/>
          <w:b/>
          <w:sz w:val="28"/>
          <w:szCs w:val="36"/>
        </w:rPr>
        <w:t xml:space="preserve">EN PARTENARIAT AVEC </w:t>
      </w:r>
      <w:r w:rsidR="005D7EED" w:rsidRPr="001F7918">
        <w:rPr>
          <w:rFonts w:ascii="Arial Black" w:hAnsi="Arial Black" w:cs="Arial"/>
          <w:b/>
          <w:sz w:val="28"/>
          <w:szCs w:val="36"/>
        </w:rPr>
        <w:t>AG2R</w:t>
      </w:r>
      <w:r w:rsidR="000D1561" w:rsidRPr="001F7918">
        <w:rPr>
          <w:rFonts w:ascii="Arial Black" w:hAnsi="Arial Black" w:cs="Arial"/>
          <w:b/>
          <w:sz w:val="28"/>
          <w:szCs w:val="36"/>
        </w:rPr>
        <w:t xml:space="preserve"> </w:t>
      </w:r>
      <w:r w:rsidR="005D7EED" w:rsidRPr="001F7918">
        <w:rPr>
          <w:rFonts w:ascii="Arial Black" w:hAnsi="Arial Black" w:cs="Arial"/>
          <w:b/>
          <w:sz w:val="28"/>
          <w:szCs w:val="36"/>
        </w:rPr>
        <w:t>LA MONDIALE</w:t>
      </w:r>
    </w:p>
    <w:p w:rsidR="000D1561" w:rsidRPr="005074C4" w:rsidRDefault="000D1561" w:rsidP="001D2C56">
      <w:pPr>
        <w:pBdr>
          <w:bottom w:val="single" w:sz="4" w:space="1" w:color="auto"/>
        </w:pBdr>
        <w:jc w:val="center"/>
        <w:rPr>
          <w:rFonts w:asciiTheme="minorHAnsi" w:hAnsiTheme="minorHAnsi"/>
          <w:b/>
          <w:sz w:val="22"/>
          <w:szCs w:val="36"/>
        </w:rPr>
      </w:pPr>
    </w:p>
    <w:p w:rsidR="0035704A" w:rsidRDefault="0035704A"/>
    <w:p w:rsidR="0035704A" w:rsidRDefault="0035704A"/>
    <w:p w:rsidR="001F7918" w:rsidRDefault="001F7918"/>
    <w:p w:rsidR="0035704A" w:rsidRPr="005074C4" w:rsidRDefault="00F01D5C">
      <w:pPr>
        <w:rPr>
          <w:b/>
          <w:i/>
        </w:rPr>
      </w:pPr>
      <w:r>
        <w:t xml:space="preserve">Les </w:t>
      </w:r>
      <w:r w:rsidR="002B3F27">
        <w:t>résultats et les analyses de cette enquête peuv</w:t>
      </w:r>
      <w:r>
        <w:t xml:space="preserve">ent être repris sous réserve </w:t>
      </w:r>
      <w:r w:rsidR="002B3F27">
        <w:t>de menti</w:t>
      </w:r>
      <w:r>
        <w:t xml:space="preserve">onner leur origine : </w:t>
      </w:r>
      <w:r w:rsidRPr="005074C4">
        <w:rPr>
          <w:b/>
          <w:i/>
        </w:rPr>
        <w:t>enquête du CECOP</w:t>
      </w:r>
      <w:r w:rsidR="005074C4" w:rsidRPr="005074C4">
        <w:rPr>
          <w:b/>
          <w:i/>
        </w:rPr>
        <w:t xml:space="preserve"> </w:t>
      </w:r>
      <w:r w:rsidRPr="005074C4">
        <w:rPr>
          <w:b/>
          <w:i/>
        </w:rPr>
        <w:t>-</w:t>
      </w:r>
      <w:r w:rsidR="005074C4" w:rsidRPr="005074C4">
        <w:rPr>
          <w:b/>
          <w:i/>
        </w:rPr>
        <w:t xml:space="preserve"> </w:t>
      </w:r>
      <w:r w:rsidR="00D85AAF" w:rsidRPr="005074C4">
        <w:rPr>
          <w:b/>
          <w:i/>
        </w:rPr>
        <w:t>IFOP</w:t>
      </w:r>
      <w:r w:rsidR="002B3F27" w:rsidRPr="005074C4">
        <w:rPr>
          <w:b/>
          <w:i/>
        </w:rPr>
        <w:t xml:space="preserve"> pour le </w:t>
      </w:r>
      <w:r w:rsidRPr="005074C4">
        <w:rPr>
          <w:b/>
          <w:i/>
        </w:rPr>
        <w:t>Cercle de l’</w:t>
      </w:r>
      <w:r w:rsidR="005074C4" w:rsidRPr="005074C4">
        <w:rPr>
          <w:b/>
          <w:i/>
        </w:rPr>
        <w:t>Épargne</w:t>
      </w:r>
      <w:r w:rsidRPr="005074C4">
        <w:rPr>
          <w:b/>
          <w:i/>
        </w:rPr>
        <w:t xml:space="preserve"> et A</w:t>
      </w:r>
      <w:r w:rsidR="005074C4" w:rsidRPr="005074C4">
        <w:rPr>
          <w:b/>
          <w:i/>
        </w:rPr>
        <w:t>MPHITÉA</w:t>
      </w:r>
      <w:r w:rsidRPr="005074C4">
        <w:rPr>
          <w:b/>
          <w:i/>
        </w:rPr>
        <w:t>*.</w:t>
      </w:r>
    </w:p>
    <w:p w:rsidR="005074C4" w:rsidRDefault="005074C4"/>
    <w:p w:rsidR="001F7918" w:rsidRDefault="001F7918"/>
    <w:p w:rsidR="00FB7DC9" w:rsidRPr="005074C4" w:rsidRDefault="00FB7DC9">
      <w:pPr>
        <w:rPr>
          <w:color w:val="E81C23"/>
        </w:rPr>
      </w:pPr>
    </w:p>
    <w:p w:rsidR="00E753FD" w:rsidRPr="00330DAD" w:rsidRDefault="005D7EED" w:rsidP="00330DAD">
      <w:pPr>
        <w:pStyle w:val="Titre1"/>
        <w:numPr>
          <w:ilvl w:val="0"/>
          <w:numId w:val="4"/>
        </w:numPr>
        <w:rPr>
          <w:spacing w:val="-10"/>
        </w:rPr>
      </w:pPr>
      <w:r w:rsidRPr="00330DAD">
        <w:rPr>
          <w:spacing w:val="-10"/>
        </w:rPr>
        <w:t>LES FRANÇAIS ET LA FISCALIT</w:t>
      </w:r>
      <w:r w:rsidR="005074C4" w:rsidRPr="00330DAD">
        <w:rPr>
          <w:spacing w:val="-10"/>
        </w:rPr>
        <w:t>É</w:t>
      </w:r>
      <w:r w:rsidRPr="00330DAD">
        <w:rPr>
          <w:spacing w:val="-10"/>
        </w:rPr>
        <w:t xml:space="preserve"> DU PATRIMOINE </w:t>
      </w:r>
    </w:p>
    <w:p w:rsidR="00E753FD" w:rsidRDefault="00E753FD" w:rsidP="00E753FD"/>
    <w:p w:rsidR="00E753FD" w:rsidRDefault="00E753FD" w:rsidP="00E753FD"/>
    <w:p w:rsidR="00E753FD" w:rsidRDefault="00607DDF" w:rsidP="000707E1">
      <w:pPr>
        <w:jc w:val="left"/>
      </w:pPr>
      <w:r>
        <w:rPr>
          <w:noProof/>
          <w:lang w:eastAsia="fr-FR"/>
        </w:rPr>
        <w:drawing>
          <wp:inline distT="0" distB="0" distL="0" distR="0" wp14:anchorId="4D2DDAF3" wp14:editId="73358493">
            <wp:extent cx="5760000" cy="3600000"/>
            <wp:effectExtent l="0" t="0" r="12700" b="1968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753FD" w:rsidRDefault="00E753FD" w:rsidP="00E753FD"/>
    <w:p w:rsidR="00607DDF" w:rsidRDefault="00607DDF" w:rsidP="00E753FD"/>
    <w:p w:rsidR="00155B8D" w:rsidRDefault="00155B8D" w:rsidP="00155B8D">
      <w:pPr>
        <w:jc w:val="center"/>
      </w:pPr>
      <w:r>
        <w:rPr>
          <w:noProof/>
          <w:lang w:eastAsia="fr-FR"/>
        </w:rPr>
        <w:drawing>
          <wp:inline distT="0" distB="0" distL="0" distR="0" wp14:anchorId="672C0113" wp14:editId="1E32118B">
            <wp:extent cx="5760000" cy="3600000"/>
            <wp:effectExtent l="0" t="0" r="12700" b="19685"/>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55B8D" w:rsidRDefault="00155B8D" w:rsidP="00E753FD"/>
    <w:p w:rsidR="00607DDF" w:rsidRDefault="00607DDF" w:rsidP="00E753FD"/>
    <w:p w:rsidR="00607DDF" w:rsidRDefault="00607DDF" w:rsidP="00607DDF">
      <w:pPr>
        <w:jc w:val="center"/>
      </w:pPr>
      <w:r>
        <w:rPr>
          <w:noProof/>
          <w:lang w:eastAsia="fr-FR"/>
        </w:rPr>
        <w:drawing>
          <wp:inline distT="0" distB="0" distL="0" distR="0" wp14:anchorId="01D7BA98" wp14:editId="4C1E1C6E">
            <wp:extent cx="5760000" cy="3600000"/>
            <wp:effectExtent l="0" t="0" r="12700" b="1968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7DDF" w:rsidRDefault="00607DDF" w:rsidP="00607DDF">
      <w:pPr>
        <w:jc w:val="center"/>
      </w:pPr>
    </w:p>
    <w:p w:rsidR="00607DDF" w:rsidRDefault="00607DDF" w:rsidP="00607DDF">
      <w:pPr>
        <w:jc w:val="center"/>
      </w:pPr>
    </w:p>
    <w:p w:rsidR="00607DDF" w:rsidRDefault="00607DDF" w:rsidP="00574463">
      <w:pPr>
        <w:jc w:val="left"/>
      </w:pPr>
      <w:r w:rsidRPr="003C4FF1">
        <w:rPr>
          <w:noProof/>
          <w:color w:val="00B2E9"/>
          <w:lang w:eastAsia="fr-FR"/>
        </w:rPr>
        <w:lastRenderedPageBreak/>
        <w:drawing>
          <wp:inline distT="0" distB="0" distL="0" distR="0" wp14:anchorId="3A357F2E" wp14:editId="315CE2AD">
            <wp:extent cx="5755341" cy="3780545"/>
            <wp:effectExtent l="0" t="0" r="17145" b="1079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7DDF" w:rsidRDefault="00607DDF" w:rsidP="00E753FD"/>
    <w:p w:rsidR="00607DDF" w:rsidRDefault="00607DDF" w:rsidP="00E753FD"/>
    <w:p w:rsidR="00E753FD" w:rsidRDefault="00E753FD" w:rsidP="00E753FD">
      <w:pPr>
        <w:jc w:val="center"/>
      </w:pPr>
      <w:r w:rsidRPr="003C4FF1">
        <w:rPr>
          <w:noProof/>
          <w:color w:val="00B2E9"/>
          <w:lang w:eastAsia="fr-FR"/>
        </w:rPr>
        <w:drawing>
          <wp:inline distT="0" distB="0" distL="0" distR="0" wp14:anchorId="5370CDF4" wp14:editId="2999F1F1">
            <wp:extent cx="5760000" cy="3600000"/>
            <wp:effectExtent l="0" t="0" r="12700" b="1968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753FD" w:rsidRDefault="00E753FD"/>
    <w:p w:rsidR="00E753FD" w:rsidRDefault="00E753FD">
      <w:r>
        <w:rPr>
          <w:noProof/>
          <w:lang w:eastAsia="fr-FR"/>
        </w:rPr>
        <w:lastRenderedPageBreak/>
        <w:drawing>
          <wp:inline distT="0" distB="0" distL="0" distR="0" wp14:anchorId="11E37E66" wp14:editId="5F74CC58">
            <wp:extent cx="5760000" cy="3600000"/>
            <wp:effectExtent l="0" t="0" r="12700" b="1968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753FD" w:rsidRDefault="00E753FD"/>
    <w:p w:rsidR="005D7EED" w:rsidRDefault="005D7EED"/>
    <w:p w:rsidR="00E753FD" w:rsidRPr="00330DAD" w:rsidRDefault="005D7EED" w:rsidP="00330DAD">
      <w:pPr>
        <w:pStyle w:val="Titre1"/>
        <w:numPr>
          <w:ilvl w:val="0"/>
          <w:numId w:val="4"/>
        </w:numPr>
        <w:rPr>
          <w:spacing w:val="-10"/>
        </w:rPr>
      </w:pPr>
      <w:r w:rsidRPr="00330DAD">
        <w:rPr>
          <w:spacing w:val="-10"/>
        </w:rPr>
        <w:t>LES FRANÇAIS FACE AUX DIFF</w:t>
      </w:r>
      <w:r w:rsidR="001C0CEA" w:rsidRPr="00330DAD">
        <w:rPr>
          <w:spacing w:val="-10"/>
        </w:rPr>
        <w:t>É</w:t>
      </w:r>
      <w:r w:rsidRPr="00330DAD">
        <w:rPr>
          <w:spacing w:val="-10"/>
        </w:rPr>
        <w:t xml:space="preserve">RENTS PLACEMENTS </w:t>
      </w:r>
    </w:p>
    <w:p w:rsidR="00155B8D" w:rsidRDefault="00155B8D" w:rsidP="00155B8D"/>
    <w:p w:rsidR="00155B8D" w:rsidRDefault="00155B8D" w:rsidP="00155B8D">
      <w:r>
        <w:rPr>
          <w:noProof/>
          <w:lang w:eastAsia="fr-FR"/>
        </w:rPr>
        <w:drawing>
          <wp:inline distT="0" distB="0" distL="0" distR="0" wp14:anchorId="1ED03C24" wp14:editId="359FE155">
            <wp:extent cx="5760720" cy="3600000"/>
            <wp:effectExtent l="0" t="0" r="11430" b="1968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5B8D" w:rsidRDefault="00155B8D" w:rsidP="00155B8D">
      <w:pPr>
        <w:jc w:val="center"/>
      </w:pPr>
      <w:r w:rsidRPr="003C4FF1">
        <w:rPr>
          <w:noProof/>
          <w:color w:val="00B2E9"/>
          <w:lang w:eastAsia="fr-FR"/>
        </w:rPr>
        <w:lastRenderedPageBreak/>
        <w:drawing>
          <wp:inline distT="0" distB="0" distL="0" distR="0" wp14:anchorId="519452D1" wp14:editId="423A0D11">
            <wp:extent cx="5809130" cy="3888121"/>
            <wp:effectExtent l="0" t="0" r="20320" b="1714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5B8D" w:rsidRDefault="00155B8D" w:rsidP="00155B8D"/>
    <w:p w:rsidR="00FB7DC9" w:rsidRDefault="00FB7DC9"/>
    <w:p w:rsidR="005D7EED" w:rsidRDefault="005D7EED"/>
    <w:p w:rsidR="005D7EED" w:rsidRDefault="005D7EED">
      <w:r>
        <w:rPr>
          <w:noProof/>
          <w:lang w:eastAsia="fr-FR"/>
        </w:rPr>
        <w:drawing>
          <wp:inline distT="0" distB="0" distL="0" distR="0" wp14:anchorId="481429A8" wp14:editId="488EDBC3">
            <wp:extent cx="5760720" cy="3604814"/>
            <wp:effectExtent l="0" t="0" r="11430" b="1524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7EED" w:rsidRDefault="005D7EED"/>
    <w:p w:rsidR="005D7EED" w:rsidRDefault="005D7EED" w:rsidP="005D7EED">
      <w:pPr>
        <w:jc w:val="center"/>
      </w:pPr>
      <w:r>
        <w:rPr>
          <w:noProof/>
          <w:lang w:eastAsia="fr-FR"/>
        </w:rPr>
        <w:lastRenderedPageBreak/>
        <w:drawing>
          <wp:inline distT="0" distB="0" distL="0" distR="0" wp14:anchorId="2B91977D" wp14:editId="0B6D737A">
            <wp:extent cx="5760000" cy="3600000"/>
            <wp:effectExtent l="0" t="0" r="12700" b="1968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D7EED" w:rsidRDefault="005D7EED" w:rsidP="005D7EED">
      <w:pPr>
        <w:jc w:val="center"/>
      </w:pPr>
    </w:p>
    <w:p w:rsidR="005D7EED" w:rsidRDefault="005D7EED" w:rsidP="005D7EED">
      <w:pPr>
        <w:jc w:val="center"/>
      </w:pPr>
    </w:p>
    <w:p w:rsidR="005D7EED" w:rsidRDefault="005D7EED" w:rsidP="005D7EED">
      <w:pPr>
        <w:jc w:val="center"/>
      </w:pPr>
    </w:p>
    <w:p w:rsidR="00974591" w:rsidRPr="00330DAD" w:rsidRDefault="001D2C56" w:rsidP="00330DAD">
      <w:pPr>
        <w:pStyle w:val="Titre1"/>
        <w:numPr>
          <w:ilvl w:val="0"/>
          <w:numId w:val="4"/>
        </w:numPr>
      </w:pPr>
      <w:r w:rsidRPr="00330DAD">
        <w:t>LES FRANÇAIS ET LA RETRAITE</w:t>
      </w:r>
    </w:p>
    <w:p w:rsidR="00DA3889" w:rsidRDefault="00DA3889"/>
    <w:p w:rsidR="005E695E" w:rsidRDefault="005E695E"/>
    <w:p w:rsidR="005E695E" w:rsidRDefault="00DA3889">
      <w:r>
        <w:rPr>
          <w:noProof/>
          <w:lang w:eastAsia="fr-FR"/>
        </w:rPr>
        <w:drawing>
          <wp:inline distT="0" distB="0" distL="0" distR="0" wp14:anchorId="00F3B35D" wp14:editId="2034B86D">
            <wp:extent cx="5760720" cy="3450590"/>
            <wp:effectExtent l="0" t="0" r="11430" b="1651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695E" w:rsidRDefault="005E695E"/>
    <w:p w:rsidR="00DC2FD5" w:rsidRDefault="00DC2FD5"/>
    <w:p w:rsidR="00974591" w:rsidRDefault="00974591"/>
    <w:p w:rsidR="00974591" w:rsidRDefault="00974591" w:rsidP="00974591">
      <w:pPr>
        <w:jc w:val="center"/>
      </w:pPr>
      <w:r w:rsidRPr="00B50FA0">
        <w:rPr>
          <w:noProof/>
          <w:color w:val="A24F9F"/>
          <w:lang w:eastAsia="fr-FR"/>
        </w:rPr>
        <w:drawing>
          <wp:inline distT="0" distB="0" distL="0" distR="0" wp14:anchorId="628768D5" wp14:editId="7FCD8DD0">
            <wp:extent cx="5760000" cy="3600000"/>
            <wp:effectExtent l="0" t="0" r="12700" b="1968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4591" w:rsidRDefault="00974591"/>
    <w:p w:rsidR="00CF4A71" w:rsidRDefault="00CF4A71"/>
    <w:p w:rsidR="00CF4A71" w:rsidRDefault="00CF4A71">
      <w:r>
        <w:rPr>
          <w:noProof/>
          <w:lang w:eastAsia="fr-FR"/>
        </w:rPr>
        <w:drawing>
          <wp:inline distT="0" distB="0" distL="0" distR="0" wp14:anchorId="06825962" wp14:editId="51ABC364">
            <wp:extent cx="5760000" cy="3600000"/>
            <wp:effectExtent l="0" t="0" r="12700" b="1968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F4A71" w:rsidRDefault="00CF4A71" w:rsidP="00CF4A71">
      <w:pPr>
        <w:jc w:val="center"/>
      </w:pPr>
      <w:r w:rsidRPr="00EB30B2">
        <w:rPr>
          <w:noProof/>
          <w:color w:val="DC1F27"/>
          <w:lang w:eastAsia="fr-FR"/>
        </w:rPr>
        <w:lastRenderedPageBreak/>
        <w:drawing>
          <wp:inline distT="0" distB="0" distL="0" distR="0" wp14:anchorId="4573B569" wp14:editId="03034E12">
            <wp:extent cx="5760000" cy="3600000"/>
            <wp:effectExtent l="0" t="0" r="12700" b="1968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2FD5" w:rsidRDefault="00DC2FD5"/>
    <w:p w:rsidR="00DC2FD5" w:rsidRDefault="00DC2FD5"/>
    <w:p w:rsidR="00DC2FD5" w:rsidRDefault="00DC2FD5" w:rsidP="001D2C56">
      <w:pPr>
        <w:jc w:val="center"/>
      </w:pPr>
      <w:r w:rsidRPr="005D7EED">
        <w:rPr>
          <w:noProof/>
          <w:color w:val="44546A" w:themeColor="text2"/>
          <w:lang w:eastAsia="fr-FR"/>
        </w:rPr>
        <w:drawing>
          <wp:inline distT="0" distB="0" distL="0" distR="0" wp14:anchorId="30D6C29C" wp14:editId="39F4ABBF">
            <wp:extent cx="5760000" cy="3600000"/>
            <wp:effectExtent l="0" t="0" r="12700" b="1968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2FD5" w:rsidRDefault="00DC2FD5"/>
    <w:p w:rsidR="005E695E" w:rsidRDefault="005E695E"/>
    <w:p w:rsidR="005E695E" w:rsidRDefault="00DB72DD" w:rsidP="001D2C56">
      <w:pPr>
        <w:jc w:val="center"/>
      </w:pPr>
      <w:r>
        <w:rPr>
          <w:noProof/>
          <w:lang w:eastAsia="fr-FR"/>
        </w:rPr>
        <w:lastRenderedPageBreak/>
        <w:drawing>
          <wp:inline distT="0" distB="0" distL="0" distR="0" wp14:anchorId="7A6D9D64" wp14:editId="5A3C11D1">
            <wp:extent cx="5760000" cy="3600000"/>
            <wp:effectExtent l="0" t="0" r="12700" b="1968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695E" w:rsidRDefault="005E695E"/>
    <w:p w:rsidR="00DB72DD" w:rsidRDefault="00DB72DD" w:rsidP="00F01D5C">
      <w:pPr>
        <w:jc w:val="center"/>
      </w:pPr>
      <w:r>
        <w:rPr>
          <w:noProof/>
          <w:lang w:eastAsia="fr-FR"/>
        </w:rPr>
        <w:drawing>
          <wp:inline distT="0" distB="0" distL="0" distR="0" wp14:anchorId="4D846EF1" wp14:editId="6CA10298">
            <wp:extent cx="5760000" cy="3600000"/>
            <wp:effectExtent l="0" t="0" r="12700" b="1968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2AC7" w:rsidRDefault="00B92AC7" w:rsidP="00F01D5C">
      <w:pPr>
        <w:jc w:val="center"/>
      </w:pPr>
    </w:p>
    <w:p w:rsidR="00B92AC7" w:rsidRDefault="00B92AC7" w:rsidP="00F01D5C">
      <w:pPr>
        <w:jc w:val="center"/>
      </w:pPr>
    </w:p>
    <w:p w:rsidR="00B92AC7" w:rsidRDefault="00B92AC7" w:rsidP="00F01D5C">
      <w:pPr>
        <w:jc w:val="center"/>
      </w:pPr>
    </w:p>
    <w:p w:rsidR="00C647F9" w:rsidRDefault="00C647F9"/>
    <w:p w:rsidR="00C647F9" w:rsidRDefault="00C647F9"/>
    <w:p w:rsidR="00C647F9" w:rsidRPr="00B92AC7" w:rsidRDefault="00F01D5C" w:rsidP="00B92AC7">
      <w:pPr>
        <w:pStyle w:val="Titre1"/>
        <w:numPr>
          <w:ilvl w:val="0"/>
          <w:numId w:val="4"/>
        </w:numPr>
        <w:rPr>
          <w:rStyle w:val="Titre1Car"/>
          <w:b/>
        </w:rPr>
      </w:pPr>
      <w:r w:rsidRPr="00B92AC7">
        <w:lastRenderedPageBreak/>
        <w:t>LA DEP</w:t>
      </w:r>
      <w:r w:rsidRPr="00B92AC7">
        <w:rPr>
          <w:rStyle w:val="Titre1Car"/>
          <w:b/>
        </w:rPr>
        <w:t>ENDANCE</w:t>
      </w:r>
    </w:p>
    <w:p w:rsidR="003407B3" w:rsidRDefault="003407B3"/>
    <w:p w:rsidR="003407B3" w:rsidRDefault="003407B3" w:rsidP="007A4665">
      <w:pPr>
        <w:spacing w:line="276" w:lineRule="auto"/>
      </w:pPr>
      <w:r>
        <w:rPr>
          <w:noProof/>
          <w:lang w:eastAsia="fr-FR"/>
        </w:rPr>
        <w:drawing>
          <wp:inline distT="0" distB="0" distL="0" distR="0" wp14:anchorId="77ED6266" wp14:editId="68E4D385">
            <wp:extent cx="5760000" cy="3600000"/>
            <wp:effectExtent l="0" t="0" r="12700" b="1968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407B3" w:rsidRDefault="003407B3"/>
    <w:p w:rsidR="00037325" w:rsidRDefault="00037325" w:rsidP="001D2C56">
      <w:pPr>
        <w:jc w:val="center"/>
      </w:pPr>
      <w:bookmarkStart w:id="0" w:name="_GoBack"/>
      <w:r w:rsidRPr="00D85AAF">
        <w:rPr>
          <w:smallCaps/>
          <w:noProof/>
          <w:lang w:eastAsia="fr-FR"/>
        </w:rPr>
        <w:drawing>
          <wp:inline distT="0" distB="0" distL="0" distR="0" wp14:anchorId="2D9387E2" wp14:editId="0FD0B887">
            <wp:extent cx="5760000" cy="3600000"/>
            <wp:effectExtent l="0" t="0" r="12700" b="19685"/>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0"/>
    </w:p>
    <w:p w:rsidR="00037325" w:rsidRDefault="00037325"/>
    <w:p w:rsidR="00037325" w:rsidRDefault="00037325"/>
    <w:p w:rsidR="00F01D5C" w:rsidRPr="00503B3D" w:rsidRDefault="00F01D5C" w:rsidP="00F01D5C">
      <w:pPr>
        <w:rPr>
          <w:rFonts w:cs="Arial"/>
          <w:i/>
          <w:spacing w:val="-14"/>
          <w:sz w:val="23"/>
          <w:szCs w:val="23"/>
        </w:rPr>
      </w:pPr>
      <w:r w:rsidRPr="00503B3D">
        <w:rPr>
          <w:rFonts w:cs="Arial"/>
          <w:i/>
          <w:color w:val="E71C23"/>
          <w:spacing w:val="-14"/>
          <w:sz w:val="22"/>
        </w:rPr>
        <w:lastRenderedPageBreak/>
        <w:t>*</w:t>
      </w:r>
      <w:r w:rsidRPr="00503B3D">
        <w:rPr>
          <w:rFonts w:cs="Arial"/>
          <w:i/>
          <w:spacing w:val="-14"/>
          <w:sz w:val="22"/>
        </w:rPr>
        <w:t xml:space="preserve"> </w:t>
      </w:r>
      <w:r w:rsidRPr="00503B3D">
        <w:rPr>
          <w:rFonts w:cs="Arial"/>
          <w:i/>
          <w:spacing w:val="-14"/>
          <w:sz w:val="23"/>
          <w:szCs w:val="23"/>
        </w:rPr>
        <w:t xml:space="preserve">À la demande du Cercle de l’Épargne et d’Amphitéa, le Centre d’Études et de Connaissances sur l’Opinion Publique (CECOP) a conduit une étude sur les Français, la retraite et l’épargne. </w:t>
      </w:r>
    </w:p>
    <w:p w:rsidR="00F01D5C" w:rsidRPr="00503B3D" w:rsidRDefault="00F01D5C" w:rsidP="00F01D5C">
      <w:pPr>
        <w:rPr>
          <w:rFonts w:cs="Arial"/>
          <w:i/>
          <w:spacing w:val="-14"/>
          <w:sz w:val="23"/>
          <w:szCs w:val="23"/>
        </w:rPr>
      </w:pPr>
    </w:p>
    <w:p w:rsidR="00F01D5C" w:rsidRPr="00503B3D" w:rsidRDefault="00F01D5C" w:rsidP="00F01D5C">
      <w:pPr>
        <w:rPr>
          <w:rFonts w:cs="Arial"/>
          <w:i/>
          <w:spacing w:val="-14"/>
          <w:sz w:val="23"/>
          <w:szCs w:val="23"/>
        </w:rPr>
      </w:pPr>
      <w:r w:rsidRPr="00503B3D">
        <w:rPr>
          <w:rFonts w:cs="Arial"/>
          <w:i/>
          <w:spacing w:val="-14"/>
          <w:sz w:val="23"/>
          <w:szCs w:val="23"/>
        </w:rPr>
        <w:t>L’enquête a été réalisée sur Internet du 7 au 10 février 2017 auprès d’un échantillon de 1 001 personnes représentatif de la population française âgée de 18 ans et plus, constitué d’après la méthode des quotas (sexe, âge, profession de la personne interrogée) après stratification par région et catégorie d’agglomération. Le terrain d’enquête a été confié à l’IFOP.</w:t>
      </w:r>
    </w:p>
    <w:p w:rsidR="00F01D5C" w:rsidRPr="00503B3D" w:rsidRDefault="00F01D5C" w:rsidP="00F01D5C">
      <w:pPr>
        <w:rPr>
          <w:rFonts w:cs="Arial"/>
          <w:spacing w:val="-14"/>
          <w:sz w:val="23"/>
          <w:szCs w:val="23"/>
        </w:rPr>
      </w:pPr>
    </w:p>
    <w:p w:rsidR="00F01D5C" w:rsidRPr="00503B3D" w:rsidRDefault="00F01D5C" w:rsidP="00F01D5C">
      <w:pPr>
        <w:rPr>
          <w:rStyle w:val="Lienhypertexte"/>
          <w:rFonts w:cs="Arial"/>
          <w:spacing w:val="-14"/>
          <w:sz w:val="23"/>
          <w:szCs w:val="23"/>
        </w:rPr>
      </w:pPr>
      <w:r w:rsidRPr="00503B3D">
        <w:rPr>
          <w:rFonts w:cs="Arial"/>
          <w:b/>
          <w:color w:val="E81D23"/>
          <w:spacing w:val="-14"/>
          <w:sz w:val="23"/>
          <w:szCs w:val="23"/>
        </w:rPr>
        <w:t xml:space="preserve">Tous les résultats de l’enquête sont sur le site du Cercle : </w:t>
      </w:r>
      <w:r w:rsidRPr="00503B3D">
        <w:rPr>
          <w:color w:val="E81D23"/>
          <w:spacing w:val="-14"/>
          <w:sz w:val="23"/>
          <w:szCs w:val="23"/>
        </w:rPr>
        <w:fldChar w:fldCharType="begin"/>
      </w:r>
      <w:r w:rsidRPr="00503B3D">
        <w:rPr>
          <w:color w:val="E81D23"/>
          <w:spacing w:val="-14"/>
          <w:sz w:val="23"/>
          <w:szCs w:val="23"/>
        </w:rPr>
        <w:instrText xml:space="preserve"> HYPERLINK "http://www.cercledelepargne.com" </w:instrText>
      </w:r>
      <w:r w:rsidRPr="00503B3D">
        <w:rPr>
          <w:color w:val="E81D23"/>
          <w:spacing w:val="-14"/>
          <w:sz w:val="23"/>
          <w:szCs w:val="23"/>
        </w:rPr>
        <w:fldChar w:fldCharType="separate"/>
      </w:r>
      <w:r w:rsidRPr="00503B3D">
        <w:rPr>
          <w:rStyle w:val="Lienhypertexte"/>
          <w:spacing w:val="-14"/>
          <w:sz w:val="23"/>
          <w:szCs w:val="23"/>
        </w:rPr>
        <w:t>www.cercledelepargne.com</w:t>
      </w:r>
    </w:p>
    <w:p w:rsidR="00F01D5C" w:rsidRPr="00503B3D" w:rsidRDefault="00F01D5C" w:rsidP="00F01D5C">
      <w:pPr>
        <w:rPr>
          <w:rFonts w:cs="Arial"/>
          <w:spacing w:val="-14"/>
          <w:sz w:val="23"/>
          <w:szCs w:val="23"/>
        </w:rPr>
      </w:pPr>
      <w:r w:rsidRPr="00503B3D">
        <w:rPr>
          <w:color w:val="E81D23"/>
          <w:spacing w:val="-14"/>
          <w:sz w:val="23"/>
          <w:szCs w:val="23"/>
        </w:rPr>
        <w:fldChar w:fldCharType="end"/>
      </w:r>
    </w:p>
    <w:p w:rsidR="00F01D5C" w:rsidRPr="00503B3D" w:rsidRDefault="00F01D5C" w:rsidP="00F01D5C">
      <w:pPr>
        <w:pBdr>
          <w:top w:val="single" w:sz="4" w:space="12" w:color="auto"/>
          <w:left w:val="single" w:sz="4" w:space="4" w:color="auto"/>
          <w:bottom w:val="single" w:sz="4" w:space="1" w:color="auto"/>
          <w:right w:val="single" w:sz="4" w:space="4" w:color="auto"/>
        </w:pBdr>
        <w:rPr>
          <w:rFonts w:cs="Arial"/>
          <w:b/>
          <w:spacing w:val="-14"/>
          <w:sz w:val="23"/>
          <w:szCs w:val="23"/>
        </w:rPr>
      </w:pPr>
      <w:r w:rsidRPr="00503B3D">
        <w:rPr>
          <w:rFonts w:cs="Arial"/>
          <w:b/>
          <w:spacing w:val="-14"/>
          <w:sz w:val="23"/>
          <w:szCs w:val="23"/>
        </w:rPr>
        <w:t>À propos du Cercle de l’Épargne</w:t>
      </w:r>
    </w:p>
    <w:p w:rsidR="00F01D5C" w:rsidRPr="00503B3D" w:rsidRDefault="00F01D5C" w:rsidP="00F01D5C">
      <w:pPr>
        <w:pBdr>
          <w:top w:val="single" w:sz="4" w:space="12" w:color="auto"/>
          <w:left w:val="single" w:sz="4" w:space="4" w:color="auto"/>
          <w:bottom w:val="single" w:sz="4" w:space="1" w:color="auto"/>
          <w:right w:val="single" w:sz="4" w:space="4" w:color="auto"/>
        </w:pBdr>
        <w:rPr>
          <w:rFonts w:cs="Arial"/>
          <w:b/>
          <w:spacing w:val="-14"/>
          <w:sz w:val="23"/>
          <w:szCs w:val="23"/>
        </w:rPr>
      </w:pPr>
      <w:r w:rsidRPr="00503B3D">
        <w:rPr>
          <w:rFonts w:cs="Arial"/>
          <w:b/>
          <w:spacing w:val="-14"/>
          <w:sz w:val="23"/>
          <w:szCs w:val="23"/>
        </w:rPr>
        <w:t xml:space="preserve"> </w:t>
      </w:r>
    </w:p>
    <w:p w:rsidR="00F01D5C" w:rsidRPr="00503B3D" w:rsidRDefault="00F01D5C" w:rsidP="00F01D5C">
      <w:pPr>
        <w:pBdr>
          <w:top w:val="single" w:sz="4" w:space="12" w:color="auto"/>
          <w:left w:val="single" w:sz="4" w:space="4" w:color="auto"/>
          <w:bottom w:val="single" w:sz="4" w:space="1" w:color="auto"/>
          <w:right w:val="single" w:sz="4" w:space="4" w:color="auto"/>
        </w:pBdr>
        <w:rPr>
          <w:rFonts w:cs="Arial"/>
          <w:spacing w:val="-14"/>
          <w:sz w:val="23"/>
          <w:szCs w:val="23"/>
        </w:rPr>
      </w:pPr>
      <w:r w:rsidRPr="00503B3D">
        <w:rPr>
          <w:rFonts w:cs="Arial"/>
          <w:spacing w:val="-14"/>
          <w:sz w:val="23"/>
          <w:szCs w:val="23"/>
        </w:rPr>
        <w:t xml:space="preserve">Centre d’études et d’information indépendant partenaire d'AG2R LA MONDIALE, le Cercle de l’Épargne est présidé par </w:t>
      </w:r>
      <w:r w:rsidRPr="00503B3D">
        <w:rPr>
          <w:rFonts w:cs="Arial"/>
          <w:b/>
          <w:spacing w:val="-14"/>
          <w:sz w:val="23"/>
          <w:szCs w:val="23"/>
        </w:rPr>
        <w:t>Jean-Pierre Thomas</w:t>
      </w:r>
      <w:r w:rsidRPr="00503B3D">
        <w:rPr>
          <w:rFonts w:cs="Arial"/>
          <w:spacing w:val="-14"/>
          <w:sz w:val="23"/>
          <w:szCs w:val="23"/>
        </w:rPr>
        <w:t>. Il mène des études à dimension économique et sociale et des actions de formation pour comprendre les grands enjeux de la protection sociale.</w:t>
      </w:r>
    </w:p>
    <w:p w:rsidR="00F01D5C" w:rsidRPr="00503B3D" w:rsidRDefault="00F01D5C" w:rsidP="00F01D5C">
      <w:pPr>
        <w:pBdr>
          <w:top w:val="single" w:sz="4" w:space="12" w:color="auto"/>
          <w:left w:val="single" w:sz="4" w:space="4" w:color="auto"/>
          <w:bottom w:val="single" w:sz="4" w:space="1" w:color="auto"/>
          <w:right w:val="single" w:sz="4" w:space="4" w:color="auto"/>
        </w:pBdr>
        <w:rPr>
          <w:rFonts w:cs="Arial"/>
          <w:spacing w:val="-14"/>
          <w:sz w:val="23"/>
          <w:szCs w:val="23"/>
        </w:rPr>
      </w:pPr>
      <w:r w:rsidRPr="00503B3D">
        <w:rPr>
          <w:rFonts w:cs="Arial"/>
          <w:spacing w:val="-14"/>
          <w:sz w:val="23"/>
          <w:szCs w:val="23"/>
        </w:rPr>
        <w:t xml:space="preserve"> </w:t>
      </w:r>
    </w:p>
    <w:p w:rsidR="00F01D5C" w:rsidRPr="00503B3D" w:rsidRDefault="00F01D5C" w:rsidP="00F01D5C">
      <w:pPr>
        <w:pBdr>
          <w:top w:val="single" w:sz="4" w:space="12" w:color="auto"/>
          <w:left w:val="single" w:sz="4" w:space="4" w:color="auto"/>
          <w:bottom w:val="single" w:sz="4" w:space="1" w:color="auto"/>
          <w:right w:val="single" w:sz="4" w:space="4" w:color="auto"/>
        </w:pBdr>
        <w:rPr>
          <w:rFonts w:cs="Arial"/>
          <w:spacing w:val="-14"/>
          <w:sz w:val="23"/>
          <w:szCs w:val="23"/>
        </w:rPr>
      </w:pPr>
      <w:r w:rsidRPr="00503B3D">
        <w:rPr>
          <w:rFonts w:cs="Arial"/>
          <w:spacing w:val="-14"/>
          <w:sz w:val="23"/>
          <w:szCs w:val="23"/>
        </w:rPr>
        <w:t xml:space="preserve">Animé par </w:t>
      </w:r>
      <w:r w:rsidRPr="00503B3D">
        <w:rPr>
          <w:rFonts w:cs="Arial"/>
          <w:b/>
          <w:spacing w:val="-14"/>
          <w:sz w:val="23"/>
          <w:szCs w:val="23"/>
        </w:rPr>
        <w:t>Philippe Crevel</w:t>
      </w:r>
      <w:r w:rsidRPr="00503B3D">
        <w:rPr>
          <w:rFonts w:cs="Arial"/>
          <w:spacing w:val="-14"/>
          <w:sz w:val="23"/>
          <w:szCs w:val="23"/>
        </w:rPr>
        <w:t xml:space="preserve">, le Cercle bénéficie, pour réaliser ses travaux, de l’appui d’un Conseil scientifique composé de </w:t>
      </w:r>
      <w:r w:rsidRPr="00503B3D">
        <w:rPr>
          <w:rFonts w:cs="Arial"/>
          <w:b/>
          <w:spacing w:val="-14"/>
          <w:sz w:val="23"/>
          <w:szCs w:val="23"/>
        </w:rPr>
        <w:t>Robert Baconnier,</w:t>
      </w:r>
      <w:r w:rsidRPr="00503B3D">
        <w:rPr>
          <w:rFonts w:cs="Arial"/>
          <w:spacing w:val="-14"/>
          <w:sz w:val="23"/>
          <w:szCs w:val="23"/>
        </w:rPr>
        <w:t xml:space="preserve"> ancien Directeur général des impôts et ancien Président de l’Association Nationale des Sociétés par Actions ; </w:t>
      </w:r>
      <w:r w:rsidRPr="00503B3D">
        <w:rPr>
          <w:rFonts w:cs="Arial"/>
          <w:b/>
          <w:spacing w:val="-14"/>
          <w:sz w:val="23"/>
          <w:szCs w:val="23"/>
        </w:rPr>
        <w:t>Jacques Barthélémy</w:t>
      </w:r>
      <w:r w:rsidRPr="00503B3D">
        <w:rPr>
          <w:rFonts w:cs="Arial"/>
          <w:spacing w:val="-14"/>
          <w:sz w:val="23"/>
          <w:szCs w:val="23"/>
        </w:rPr>
        <w:t xml:space="preserve">, Avocat conseil en droit social et ancien Professeur associé à la faculté de droit de Montpellier ; </w:t>
      </w:r>
      <w:r w:rsidRPr="00503B3D">
        <w:rPr>
          <w:rFonts w:cs="Arial"/>
          <w:b/>
          <w:spacing w:val="-14"/>
          <w:sz w:val="23"/>
          <w:szCs w:val="23"/>
        </w:rPr>
        <w:t>Philippe Brossard</w:t>
      </w:r>
      <w:r w:rsidRPr="00503B3D">
        <w:rPr>
          <w:rFonts w:cs="Arial"/>
          <w:spacing w:val="-14"/>
          <w:sz w:val="23"/>
          <w:szCs w:val="23"/>
        </w:rPr>
        <w:t xml:space="preserve">, Chef économiste d’AG2R LA MONDIALE ; </w:t>
      </w:r>
      <w:r w:rsidRPr="00503B3D">
        <w:rPr>
          <w:rFonts w:cs="Arial"/>
          <w:b/>
          <w:spacing w:val="-14"/>
          <w:sz w:val="23"/>
          <w:szCs w:val="23"/>
        </w:rPr>
        <w:t>Jean-Marie Colombani</w:t>
      </w:r>
      <w:r w:rsidRPr="00503B3D">
        <w:rPr>
          <w:rFonts w:cs="Arial"/>
          <w:spacing w:val="-14"/>
          <w:sz w:val="23"/>
          <w:szCs w:val="23"/>
        </w:rPr>
        <w:t xml:space="preserve">, Fondateur de Slate.fr et ancien Directeur du Monde et; </w:t>
      </w:r>
      <w:r w:rsidRPr="00503B3D">
        <w:rPr>
          <w:rFonts w:cs="Arial"/>
          <w:b/>
          <w:spacing w:val="-14"/>
          <w:sz w:val="23"/>
          <w:szCs w:val="23"/>
        </w:rPr>
        <w:t>Jean-Paul Fitoussi</w:t>
      </w:r>
      <w:r w:rsidRPr="00503B3D">
        <w:rPr>
          <w:rFonts w:cs="Arial"/>
          <w:spacing w:val="-14"/>
          <w:sz w:val="23"/>
          <w:szCs w:val="23"/>
        </w:rPr>
        <w:t xml:space="preserve">, Professeur des universités à l’IEP de Paris ; </w:t>
      </w:r>
      <w:r w:rsidRPr="00503B3D">
        <w:rPr>
          <w:rFonts w:cs="Arial"/>
          <w:b/>
          <w:spacing w:val="-14"/>
          <w:sz w:val="23"/>
          <w:szCs w:val="23"/>
        </w:rPr>
        <w:t>Jean-Pierre Gaillard</w:t>
      </w:r>
      <w:r w:rsidRPr="00503B3D">
        <w:rPr>
          <w:rFonts w:cs="Arial"/>
          <w:spacing w:val="-14"/>
          <w:sz w:val="23"/>
          <w:szCs w:val="23"/>
        </w:rPr>
        <w:t xml:space="preserve">, Journaliste et Chroniqueur boursier ; </w:t>
      </w:r>
      <w:r w:rsidRPr="00503B3D">
        <w:rPr>
          <w:rFonts w:cs="Arial"/>
          <w:b/>
          <w:spacing w:val="-14"/>
          <w:sz w:val="23"/>
          <w:szCs w:val="23"/>
        </w:rPr>
        <w:t>Christian Gollier</w:t>
      </w:r>
      <w:r w:rsidRPr="00503B3D">
        <w:rPr>
          <w:rFonts w:cs="Arial"/>
          <w:spacing w:val="-14"/>
          <w:sz w:val="23"/>
          <w:szCs w:val="23"/>
        </w:rPr>
        <w:t xml:space="preserve">, Directeur de la Fondation Jean-Jacques Laffont – Toulouse Sciences </w:t>
      </w:r>
      <w:r w:rsidRPr="00C830BD">
        <w:rPr>
          <w:rFonts w:cs="Arial"/>
          <w:spacing w:val="-14"/>
          <w:sz w:val="23"/>
          <w:szCs w:val="23"/>
        </w:rPr>
        <w:t>Économiques</w:t>
      </w:r>
      <w:r w:rsidRPr="00503B3D">
        <w:rPr>
          <w:rFonts w:cs="Arial"/>
          <w:spacing w:val="-14"/>
          <w:sz w:val="23"/>
          <w:szCs w:val="23"/>
        </w:rPr>
        <w:t xml:space="preserve">, membre du Laboratoire d'Économie des Ressources Naturelles (LERNA) et Directeur de recherche à l’Institut d'Économie Industrielle (IDEI) à Toulouse ; </w:t>
      </w:r>
      <w:r w:rsidRPr="00503B3D">
        <w:rPr>
          <w:rFonts w:cs="Arial"/>
          <w:b/>
          <w:spacing w:val="-14"/>
          <w:sz w:val="23"/>
          <w:szCs w:val="23"/>
        </w:rPr>
        <w:t>François Héran</w:t>
      </w:r>
      <w:r w:rsidRPr="00503B3D">
        <w:rPr>
          <w:rFonts w:cs="Arial"/>
          <w:spacing w:val="-14"/>
          <w:sz w:val="23"/>
          <w:szCs w:val="23"/>
        </w:rPr>
        <w:t xml:space="preserve">, Directeur de recherche à l'INED, ancien Directeur du département des sciences humaines et sociales de l’Agence Nationale de la Recherche (ANR) ; </w:t>
      </w:r>
      <w:r w:rsidRPr="00503B3D">
        <w:rPr>
          <w:rFonts w:cs="Arial"/>
          <w:b/>
          <w:spacing w:val="-14"/>
          <w:sz w:val="23"/>
          <w:szCs w:val="23"/>
        </w:rPr>
        <w:t>Jérôme Jaffré</w:t>
      </w:r>
      <w:r w:rsidRPr="00503B3D">
        <w:rPr>
          <w:rFonts w:cs="Arial"/>
          <w:spacing w:val="-14"/>
          <w:sz w:val="23"/>
          <w:szCs w:val="23"/>
        </w:rPr>
        <w:t xml:space="preserve">, Directeur du CECOP ; </w:t>
      </w:r>
      <w:r w:rsidRPr="00503B3D">
        <w:rPr>
          <w:rFonts w:cs="Arial"/>
          <w:b/>
          <w:spacing w:val="-14"/>
          <w:sz w:val="23"/>
          <w:szCs w:val="23"/>
        </w:rPr>
        <w:t>Florence Legros</w:t>
      </w:r>
      <w:r w:rsidRPr="00503B3D">
        <w:rPr>
          <w:rFonts w:cs="Arial"/>
          <w:spacing w:val="-14"/>
          <w:sz w:val="23"/>
          <w:szCs w:val="23"/>
        </w:rPr>
        <w:t xml:space="preserve">, Directrice générale d’ICN Business School de Nancy ; </w:t>
      </w:r>
      <w:r w:rsidRPr="00503B3D">
        <w:rPr>
          <w:rFonts w:cs="Arial"/>
          <w:b/>
          <w:spacing w:val="-14"/>
          <w:sz w:val="23"/>
          <w:szCs w:val="23"/>
        </w:rPr>
        <w:t>Jean-Marie Spaeth</w:t>
      </w:r>
      <w:r w:rsidRPr="00503B3D">
        <w:rPr>
          <w:rFonts w:cs="Arial"/>
          <w:spacing w:val="-14"/>
          <w:sz w:val="23"/>
          <w:szCs w:val="23"/>
        </w:rPr>
        <w:t xml:space="preserve">, Président honoraire de la CNAMTS et de l’EN3S et </w:t>
      </w:r>
      <w:r w:rsidRPr="00503B3D">
        <w:rPr>
          <w:rFonts w:cs="Arial"/>
          <w:b/>
          <w:spacing w:val="-14"/>
          <w:sz w:val="23"/>
          <w:szCs w:val="23"/>
        </w:rPr>
        <w:t>Jean-Pierre Thomas</w:t>
      </w:r>
      <w:r w:rsidRPr="00503B3D">
        <w:rPr>
          <w:rFonts w:cs="Arial"/>
          <w:spacing w:val="-14"/>
          <w:sz w:val="23"/>
          <w:szCs w:val="23"/>
        </w:rPr>
        <w:t>, Président de Thomas Vendôme Investment, ancien député.</w:t>
      </w:r>
    </w:p>
    <w:p w:rsidR="00F01D5C" w:rsidRPr="00503B3D" w:rsidRDefault="00F01D5C" w:rsidP="00F01D5C">
      <w:pPr>
        <w:pBdr>
          <w:top w:val="single" w:sz="4" w:space="12" w:color="auto"/>
          <w:left w:val="single" w:sz="4" w:space="4" w:color="auto"/>
          <w:bottom w:val="single" w:sz="4" w:space="1" w:color="auto"/>
          <w:right w:val="single" w:sz="4" w:space="4" w:color="auto"/>
        </w:pBdr>
        <w:rPr>
          <w:rFonts w:cs="Arial"/>
          <w:spacing w:val="-14"/>
          <w:sz w:val="23"/>
          <w:szCs w:val="23"/>
        </w:rPr>
      </w:pPr>
      <w:r w:rsidRPr="00503B3D">
        <w:rPr>
          <w:rFonts w:cs="Arial"/>
          <w:spacing w:val="-14"/>
          <w:sz w:val="23"/>
          <w:szCs w:val="23"/>
        </w:rPr>
        <w:t xml:space="preserve"> </w:t>
      </w:r>
    </w:p>
    <w:p w:rsidR="00F01D5C" w:rsidRPr="00503B3D" w:rsidRDefault="00F01D5C" w:rsidP="00F01D5C">
      <w:pPr>
        <w:pBdr>
          <w:top w:val="single" w:sz="4" w:space="12" w:color="auto"/>
          <w:left w:val="single" w:sz="4" w:space="4" w:color="auto"/>
          <w:bottom w:val="single" w:sz="4" w:space="1" w:color="auto"/>
          <w:right w:val="single" w:sz="4" w:space="4" w:color="auto"/>
        </w:pBdr>
        <w:rPr>
          <w:rFonts w:cs="Arial"/>
          <w:b/>
          <w:spacing w:val="-14"/>
          <w:sz w:val="23"/>
          <w:szCs w:val="23"/>
        </w:rPr>
      </w:pPr>
      <w:r w:rsidRPr="00503B3D">
        <w:rPr>
          <w:rFonts w:cs="Arial"/>
          <w:b/>
          <w:spacing w:val="-14"/>
          <w:sz w:val="23"/>
          <w:szCs w:val="23"/>
        </w:rPr>
        <w:t>À propos d’AMPHITÉA</w:t>
      </w:r>
    </w:p>
    <w:p w:rsidR="00F01D5C" w:rsidRPr="00503B3D" w:rsidRDefault="00F01D5C" w:rsidP="00F01D5C">
      <w:pPr>
        <w:pBdr>
          <w:top w:val="single" w:sz="4" w:space="12" w:color="auto"/>
          <w:left w:val="single" w:sz="4" w:space="4" w:color="auto"/>
          <w:bottom w:val="single" w:sz="4" w:space="1" w:color="auto"/>
          <w:right w:val="single" w:sz="4" w:space="4" w:color="auto"/>
        </w:pBdr>
        <w:rPr>
          <w:rFonts w:cs="Arial"/>
          <w:spacing w:val="-14"/>
          <w:sz w:val="23"/>
          <w:szCs w:val="23"/>
        </w:rPr>
      </w:pPr>
      <w:r w:rsidRPr="00503B3D">
        <w:rPr>
          <w:rFonts w:cs="Arial"/>
          <w:spacing w:val="-14"/>
          <w:sz w:val="23"/>
          <w:szCs w:val="23"/>
        </w:rPr>
        <w:t xml:space="preserve"> </w:t>
      </w:r>
    </w:p>
    <w:p w:rsidR="00F01D5C" w:rsidRPr="00503B3D" w:rsidRDefault="00F01D5C" w:rsidP="00F01D5C">
      <w:pPr>
        <w:pBdr>
          <w:top w:val="single" w:sz="4" w:space="12" w:color="auto"/>
          <w:left w:val="single" w:sz="4" w:space="4" w:color="auto"/>
          <w:bottom w:val="single" w:sz="4" w:space="1" w:color="auto"/>
          <w:right w:val="single" w:sz="4" w:space="4" w:color="auto"/>
        </w:pBdr>
        <w:rPr>
          <w:rFonts w:cs="Arial"/>
          <w:spacing w:val="-14"/>
          <w:sz w:val="23"/>
          <w:szCs w:val="23"/>
        </w:rPr>
      </w:pPr>
      <w:r w:rsidRPr="00503B3D">
        <w:rPr>
          <w:rFonts w:cs="Arial"/>
          <w:spacing w:val="-14"/>
          <w:sz w:val="23"/>
          <w:szCs w:val="23"/>
        </w:rPr>
        <w:t>AMPHITÉA, association d’assurés, souscrit auprès d’AG2R LA MONDIALE au nom et au profit de ses adhérents, des contrats répondant à leurs besoins de protection sociale et patrimoniale (épargne, retraite, santé, prévoyance, dépendance, obsèques). AMPHITÉA, grâce à ses correspondants, est une force de proposition</w:t>
      </w:r>
      <w:r w:rsidRPr="00503B3D">
        <w:rPr>
          <w:rFonts w:cs="Arial"/>
          <w:spacing w:val="-14"/>
          <w:sz w:val="23"/>
          <w:szCs w:val="23"/>
          <w:shd w:val="clear" w:color="auto" w:fill="FFFFFF"/>
        </w:rPr>
        <w:t>.</w:t>
      </w:r>
    </w:p>
    <w:p w:rsidR="00F01D5C" w:rsidRPr="00503B3D" w:rsidRDefault="00F01D5C" w:rsidP="00F01D5C">
      <w:pPr>
        <w:rPr>
          <w:rFonts w:cs="Arial"/>
          <w:b/>
          <w:spacing w:val="-10"/>
          <w:sz w:val="23"/>
          <w:szCs w:val="23"/>
        </w:rPr>
      </w:pPr>
    </w:p>
    <w:p w:rsidR="00F01D5C" w:rsidRPr="00503B3D" w:rsidRDefault="00F01D5C" w:rsidP="00F01D5C">
      <w:pPr>
        <w:jc w:val="center"/>
        <w:rPr>
          <w:rFonts w:cs="Arial"/>
          <w:b/>
          <w:spacing w:val="-10"/>
          <w:sz w:val="23"/>
          <w:szCs w:val="23"/>
        </w:rPr>
      </w:pPr>
    </w:p>
    <w:p w:rsidR="00F01D5C" w:rsidRPr="00503B3D" w:rsidRDefault="00F01D5C" w:rsidP="00F01D5C">
      <w:pPr>
        <w:jc w:val="center"/>
        <w:rPr>
          <w:rFonts w:cs="Arial"/>
          <w:b/>
          <w:spacing w:val="-10"/>
          <w:sz w:val="23"/>
          <w:szCs w:val="23"/>
        </w:rPr>
      </w:pPr>
      <w:r w:rsidRPr="00503B3D">
        <w:rPr>
          <w:rFonts w:cs="Arial"/>
          <w:b/>
          <w:spacing w:val="-10"/>
          <w:sz w:val="23"/>
          <w:szCs w:val="23"/>
        </w:rPr>
        <w:t>Contacts presse :</w:t>
      </w:r>
    </w:p>
    <w:p w:rsidR="00F01D5C" w:rsidRPr="00503B3D" w:rsidRDefault="00F01D5C" w:rsidP="00F01D5C">
      <w:pPr>
        <w:jc w:val="center"/>
        <w:rPr>
          <w:rFonts w:cs="Arial"/>
          <w:b/>
          <w:spacing w:val="-10"/>
          <w:sz w:val="23"/>
          <w:szCs w:val="23"/>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01D5C" w:rsidRPr="00C830BD" w:rsidTr="00D27446">
        <w:trPr>
          <w:trHeight w:val="1009"/>
        </w:trPr>
        <w:tc>
          <w:tcPr>
            <w:tcW w:w="4606" w:type="dxa"/>
          </w:tcPr>
          <w:p w:rsidR="00F01D5C" w:rsidRPr="00503B3D" w:rsidRDefault="00F01D5C" w:rsidP="00D27446">
            <w:pPr>
              <w:jc w:val="center"/>
              <w:rPr>
                <w:rFonts w:eastAsia="Calibri" w:cs="Arial"/>
                <w:spacing w:val="-10"/>
                <w:sz w:val="23"/>
                <w:szCs w:val="23"/>
              </w:rPr>
            </w:pPr>
            <w:r w:rsidRPr="00503B3D">
              <w:rPr>
                <w:rFonts w:eastAsia="Calibri" w:cs="Arial"/>
                <w:spacing w:val="-10"/>
                <w:sz w:val="23"/>
                <w:szCs w:val="23"/>
              </w:rPr>
              <w:t>Sarah Le Gouez</w:t>
            </w:r>
          </w:p>
          <w:p w:rsidR="00F01D5C" w:rsidRPr="00503B3D" w:rsidRDefault="00F01D5C" w:rsidP="00D27446">
            <w:pPr>
              <w:jc w:val="center"/>
              <w:rPr>
                <w:rFonts w:eastAsia="Calibri" w:cs="Arial"/>
                <w:spacing w:val="-10"/>
                <w:sz w:val="23"/>
                <w:szCs w:val="23"/>
              </w:rPr>
            </w:pPr>
            <w:r w:rsidRPr="00503B3D">
              <w:rPr>
                <w:rFonts w:eastAsia="Calibri" w:cs="Arial"/>
                <w:spacing w:val="-10"/>
                <w:sz w:val="23"/>
                <w:szCs w:val="23"/>
              </w:rPr>
              <w:t>06 13 90 75 48</w:t>
            </w:r>
          </w:p>
          <w:p w:rsidR="00F01D5C" w:rsidRPr="00503B3D" w:rsidRDefault="00351254" w:rsidP="00D27446">
            <w:pPr>
              <w:jc w:val="center"/>
              <w:rPr>
                <w:rFonts w:cs="Arial"/>
                <w:b/>
                <w:spacing w:val="-10"/>
                <w:sz w:val="23"/>
                <w:szCs w:val="23"/>
              </w:rPr>
            </w:pPr>
            <w:hyperlink r:id="rId28" w:history="1">
              <w:r w:rsidR="00F01D5C" w:rsidRPr="00503B3D">
                <w:rPr>
                  <w:rStyle w:val="Lienhypertexte"/>
                  <w:rFonts w:cs="Arial"/>
                  <w:spacing w:val="-10"/>
                  <w:sz w:val="23"/>
                  <w:szCs w:val="23"/>
                </w:rPr>
                <w:t>slegouez@cercledelepargne.fr</w:t>
              </w:r>
            </w:hyperlink>
          </w:p>
        </w:tc>
        <w:tc>
          <w:tcPr>
            <w:tcW w:w="4606" w:type="dxa"/>
          </w:tcPr>
          <w:p w:rsidR="00F01D5C" w:rsidRPr="00503B3D" w:rsidRDefault="00F01D5C" w:rsidP="00D27446">
            <w:pPr>
              <w:jc w:val="center"/>
              <w:rPr>
                <w:rFonts w:cs="Arial"/>
                <w:spacing w:val="-10"/>
                <w:sz w:val="23"/>
                <w:szCs w:val="23"/>
              </w:rPr>
            </w:pPr>
            <w:r w:rsidRPr="00503B3D">
              <w:rPr>
                <w:rFonts w:cs="Arial"/>
                <w:spacing w:val="-10"/>
                <w:sz w:val="23"/>
                <w:szCs w:val="23"/>
              </w:rPr>
              <w:t>Philippe Crevel</w:t>
            </w:r>
          </w:p>
          <w:p w:rsidR="00F01D5C" w:rsidRPr="00503B3D" w:rsidRDefault="00F01D5C" w:rsidP="00D27446">
            <w:pPr>
              <w:jc w:val="center"/>
              <w:rPr>
                <w:rFonts w:cs="Arial"/>
                <w:spacing w:val="-10"/>
                <w:sz w:val="23"/>
                <w:szCs w:val="23"/>
              </w:rPr>
            </w:pPr>
            <w:r w:rsidRPr="00503B3D">
              <w:rPr>
                <w:rFonts w:cs="Arial"/>
                <w:spacing w:val="-10"/>
                <w:sz w:val="23"/>
                <w:szCs w:val="23"/>
              </w:rPr>
              <w:t>06 03 84 70 36</w:t>
            </w:r>
          </w:p>
          <w:p w:rsidR="00F01D5C" w:rsidRPr="00503B3D" w:rsidRDefault="00351254" w:rsidP="00D27446">
            <w:pPr>
              <w:jc w:val="center"/>
              <w:rPr>
                <w:rFonts w:cs="Arial"/>
                <w:b/>
                <w:spacing w:val="-10"/>
                <w:sz w:val="23"/>
                <w:szCs w:val="23"/>
              </w:rPr>
            </w:pPr>
            <w:hyperlink r:id="rId29" w:history="1">
              <w:r w:rsidR="00F01D5C" w:rsidRPr="00503B3D">
                <w:rPr>
                  <w:rStyle w:val="Lienhypertexte"/>
                  <w:spacing w:val="-10"/>
                  <w:sz w:val="23"/>
                  <w:szCs w:val="23"/>
                </w:rPr>
                <w:t>pcrevel@cercledelepargne.fr</w:t>
              </w:r>
            </w:hyperlink>
          </w:p>
        </w:tc>
      </w:tr>
    </w:tbl>
    <w:p w:rsidR="00037325" w:rsidRDefault="00037325"/>
    <w:sectPr w:rsidR="00037325">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254" w:rsidRDefault="00351254" w:rsidP="000D1561">
      <w:r>
        <w:separator/>
      </w:r>
    </w:p>
  </w:endnote>
  <w:endnote w:type="continuationSeparator" w:id="0">
    <w:p w:rsidR="00351254" w:rsidRDefault="00351254" w:rsidP="000D1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254" w:rsidRDefault="00351254" w:rsidP="000D1561">
      <w:r>
        <w:separator/>
      </w:r>
    </w:p>
  </w:footnote>
  <w:footnote w:type="continuationSeparator" w:id="0">
    <w:p w:rsidR="00351254" w:rsidRDefault="00351254" w:rsidP="000D1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2872"/>
      <w:gridCol w:w="2879"/>
    </w:tblGrid>
    <w:tr w:rsidR="000D1561" w:rsidRPr="00A80E76" w:rsidTr="00D27446">
      <w:tc>
        <w:tcPr>
          <w:tcW w:w="3557" w:type="dxa"/>
        </w:tcPr>
        <w:p w:rsidR="000D1561" w:rsidRPr="00A80E76" w:rsidRDefault="000D1561" w:rsidP="00D27446">
          <w:pPr>
            <w:pStyle w:val="En-tte"/>
            <w:jc w:val="left"/>
            <w:rPr>
              <w:sz w:val="22"/>
            </w:rPr>
          </w:pPr>
          <w:r w:rsidRPr="00A80E76">
            <w:rPr>
              <w:noProof/>
              <w:sz w:val="22"/>
              <w:lang w:eastAsia="fr-FR"/>
            </w:rPr>
            <w:drawing>
              <wp:anchor distT="0" distB="0" distL="114300" distR="114300" simplePos="0" relativeHeight="251659264" behindDoc="1" locked="0" layoutInCell="1" allowOverlap="1" wp14:anchorId="4BE71596" wp14:editId="7B34031D">
                <wp:simplePos x="0" y="0"/>
                <wp:positionH relativeFrom="column">
                  <wp:posOffset>-13335</wp:posOffset>
                </wp:positionH>
                <wp:positionV relativeFrom="paragraph">
                  <wp:posOffset>179705</wp:posOffset>
                </wp:positionV>
                <wp:extent cx="2119630" cy="467360"/>
                <wp:effectExtent l="0" t="0" r="0" b="8890"/>
                <wp:wrapTight wrapText="bothSides">
                  <wp:wrapPolygon edited="0">
                    <wp:start x="0" y="0"/>
                    <wp:lineTo x="0" y="21130"/>
                    <wp:lineTo x="21354" y="21130"/>
                    <wp:lineTo x="21354"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CED NAT.jpg"/>
                        <pic:cNvPicPr/>
                      </pic:nvPicPr>
                      <pic:blipFill rotWithShape="1">
                        <a:blip r:embed="rId1">
                          <a:extLst>
                            <a:ext uri="{28A0092B-C50C-407E-A947-70E740481C1C}">
                              <a14:useLocalDpi xmlns:a14="http://schemas.microsoft.com/office/drawing/2010/main" val="0"/>
                            </a:ext>
                          </a:extLst>
                        </a:blip>
                        <a:srcRect l="10000" t="11556" r="5161" b="13973"/>
                        <a:stretch/>
                      </pic:blipFill>
                      <pic:spPr bwMode="auto">
                        <a:xfrm>
                          <a:off x="0" y="0"/>
                          <a:ext cx="2119630" cy="46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79" w:type="dxa"/>
        </w:tcPr>
        <w:p w:rsidR="000D1561" w:rsidRPr="00A80E76" w:rsidRDefault="000D1561" w:rsidP="00D27446">
          <w:pPr>
            <w:pStyle w:val="En-tte"/>
            <w:jc w:val="left"/>
            <w:rPr>
              <w:sz w:val="22"/>
            </w:rPr>
          </w:pPr>
          <w:r w:rsidRPr="00A80E76">
            <w:rPr>
              <w:noProof/>
              <w:sz w:val="22"/>
              <w:lang w:eastAsia="fr-FR"/>
            </w:rPr>
            <w:drawing>
              <wp:anchor distT="0" distB="0" distL="114300" distR="114300" simplePos="0" relativeHeight="251660288" behindDoc="1" locked="0" layoutInCell="1" allowOverlap="1" wp14:anchorId="1523C7E3" wp14:editId="18B801BC">
                <wp:simplePos x="0" y="0"/>
                <wp:positionH relativeFrom="column">
                  <wp:posOffset>-2540</wp:posOffset>
                </wp:positionH>
                <wp:positionV relativeFrom="paragraph">
                  <wp:posOffset>97790</wp:posOffset>
                </wp:positionV>
                <wp:extent cx="1687830" cy="546100"/>
                <wp:effectExtent l="0" t="0" r="7620" b="6350"/>
                <wp:wrapTight wrapText="bothSides">
                  <wp:wrapPolygon edited="0">
                    <wp:start x="0" y="0"/>
                    <wp:lineTo x="0" y="21098"/>
                    <wp:lineTo x="21454" y="21098"/>
                    <wp:lineTo x="2145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HITE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7830" cy="546100"/>
                        </a:xfrm>
                        <a:prstGeom prst="rect">
                          <a:avLst/>
                        </a:prstGeom>
                      </pic:spPr>
                    </pic:pic>
                  </a:graphicData>
                </a:graphic>
                <wp14:sizeRelH relativeFrom="page">
                  <wp14:pctWidth>0</wp14:pctWidth>
                </wp14:sizeRelH>
                <wp14:sizeRelV relativeFrom="page">
                  <wp14:pctHeight>0</wp14:pctHeight>
                </wp14:sizeRelV>
              </wp:anchor>
            </w:drawing>
          </w:r>
        </w:p>
      </w:tc>
      <w:tc>
        <w:tcPr>
          <w:tcW w:w="2852" w:type="dxa"/>
        </w:tcPr>
        <w:p w:rsidR="000D1561" w:rsidRDefault="000D1561" w:rsidP="00D27446">
          <w:pPr>
            <w:pStyle w:val="En-tte"/>
            <w:jc w:val="left"/>
            <w:rPr>
              <w:sz w:val="22"/>
            </w:rPr>
          </w:pPr>
          <w:r>
            <w:rPr>
              <w:noProof/>
              <w:sz w:val="22"/>
              <w:lang w:eastAsia="fr-FR"/>
            </w:rPr>
            <w:drawing>
              <wp:inline distT="0" distB="0" distL="0" distR="0" wp14:anchorId="66274F51" wp14:editId="0D1AB999">
                <wp:extent cx="1700015" cy="648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2R LA MONDIALE.jpg"/>
                        <pic:cNvPicPr/>
                      </pic:nvPicPr>
                      <pic:blipFill>
                        <a:blip r:embed="rId3">
                          <a:extLst>
                            <a:ext uri="{28A0092B-C50C-407E-A947-70E740481C1C}">
                              <a14:useLocalDpi xmlns:a14="http://schemas.microsoft.com/office/drawing/2010/main" val="0"/>
                            </a:ext>
                          </a:extLst>
                        </a:blip>
                        <a:stretch>
                          <a:fillRect/>
                        </a:stretch>
                      </pic:blipFill>
                      <pic:spPr>
                        <a:xfrm>
                          <a:off x="0" y="0"/>
                          <a:ext cx="1700015" cy="648000"/>
                        </a:xfrm>
                        <a:prstGeom prst="rect">
                          <a:avLst/>
                        </a:prstGeom>
                      </pic:spPr>
                    </pic:pic>
                  </a:graphicData>
                </a:graphic>
              </wp:inline>
            </w:drawing>
          </w:r>
        </w:p>
        <w:p w:rsidR="000D1561" w:rsidRPr="00A80E76" w:rsidRDefault="000D1561" w:rsidP="00D27446">
          <w:pPr>
            <w:pStyle w:val="En-tte"/>
            <w:jc w:val="left"/>
            <w:rPr>
              <w:sz w:val="22"/>
            </w:rPr>
          </w:pPr>
        </w:p>
      </w:tc>
    </w:tr>
  </w:tbl>
  <w:p w:rsidR="000D1561" w:rsidRDefault="000D1561" w:rsidP="000D1561">
    <w:pPr>
      <w:pStyle w:val="En-tte"/>
      <w:tabs>
        <w:tab w:val="clear" w:pos="4536"/>
        <w:tab w:val="clear" w:pos="9072"/>
        <w:tab w:val="left" w:pos="1167"/>
      </w:tabs>
      <w:jc w:val="left"/>
    </w:pPr>
    <w:r>
      <w:rPr>
        <w:noProof/>
        <w:lang w:eastAsia="fr-FR"/>
      </w:rP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2932"/>
    <w:multiLevelType w:val="hybridMultilevel"/>
    <w:tmpl w:val="9EA6DFF4"/>
    <w:lvl w:ilvl="0" w:tplc="D8A02B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72866B1"/>
    <w:multiLevelType w:val="hybridMultilevel"/>
    <w:tmpl w:val="E5AA30CE"/>
    <w:lvl w:ilvl="0" w:tplc="A3E292AC">
      <w:start w:val="1"/>
      <w:numFmt w:val="upperRoman"/>
      <w:pStyle w:val="Titre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BCF6E46"/>
    <w:multiLevelType w:val="hybridMultilevel"/>
    <w:tmpl w:val="C8B20EE0"/>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7AEA4201"/>
    <w:multiLevelType w:val="hybridMultilevel"/>
    <w:tmpl w:val="19287D2A"/>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7C970EC8"/>
    <w:multiLevelType w:val="hybridMultilevel"/>
    <w:tmpl w:val="A8A0B3E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04A"/>
    <w:rsid w:val="00003B22"/>
    <w:rsid w:val="0001796B"/>
    <w:rsid w:val="000202DA"/>
    <w:rsid w:val="00020F2A"/>
    <w:rsid w:val="0002162A"/>
    <w:rsid w:val="00025130"/>
    <w:rsid w:val="00025A04"/>
    <w:rsid w:val="00032450"/>
    <w:rsid w:val="00037325"/>
    <w:rsid w:val="0005198A"/>
    <w:rsid w:val="00057597"/>
    <w:rsid w:val="000603B8"/>
    <w:rsid w:val="00064E10"/>
    <w:rsid w:val="00067148"/>
    <w:rsid w:val="000707E1"/>
    <w:rsid w:val="00075B51"/>
    <w:rsid w:val="0007617F"/>
    <w:rsid w:val="00080462"/>
    <w:rsid w:val="0008385D"/>
    <w:rsid w:val="000844C9"/>
    <w:rsid w:val="00084F50"/>
    <w:rsid w:val="00092B15"/>
    <w:rsid w:val="00095918"/>
    <w:rsid w:val="000B12ED"/>
    <w:rsid w:val="000B3458"/>
    <w:rsid w:val="000B4A7F"/>
    <w:rsid w:val="000C7F32"/>
    <w:rsid w:val="000D1561"/>
    <w:rsid w:val="000D1614"/>
    <w:rsid w:val="000D512D"/>
    <w:rsid w:val="000D7E67"/>
    <w:rsid w:val="000E3647"/>
    <w:rsid w:val="000E5EA4"/>
    <w:rsid w:val="000F5B49"/>
    <w:rsid w:val="000F5E34"/>
    <w:rsid w:val="00100338"/>
    <w:rsid w:val="0010270A"/>
    <w:rsid w:val="00117B51"/>
    <w:rsid w:val="00117E97"/>
    <w:rsid w:val="00121704"/>
    <w:rsid w:val="001229E8"/>
    <w:rsid w:val="00124B78"/>
    <w:rsid w:val="00131543"/>
    <w:rsid w:val="0013688F"/>
    <w:rsid w:val="001410D5"/>
    <w:rsid w:val="00146667"/>
    <w:rsid w:val="001508A8"/>
    <w:rsid w:val="0015110F"/>
    <w:rsid w:val="00155B8D"/>
    <w:rsid w:val="001631DA"/>
    <w:rsid w:val="00163583"/>
    <w:rsid w:val="0016431A"/>
    <w:rsid w:val="001676E3"/>
    <w:rsid w:val="00172415"/>
    <w:rsid w:val="00176567"/>
    <w:rsid w:val="0018154A"/>
    <w:rsid w:val="0018724A"/>
    <w:rsid w:val="001910BE"/>
    <w:rsid w:val="00192D86"/>
    <w:rsid w:val="00194F65"/>
    <w:rsid w:val="001A0C3D"/>
    <w:rsid w:val="001A5D72"/>
    <w:rsid w:val="001A745E"/>
    <w:rsid w:val="001B003C"/>
    <w:rsid w:val="001B3838"/>
    <w:rsid w:val="001B4D3E"/>
    <w:rsid w:val="001B6230"/>
    <w:rsid w:val="001B65A7"/>
    <w:rsid w:val="001B7067"/>
    <w:rsid w:val="001C0506"/>
    <w:rsid w:val="001C0CEA"/>
    <w:rsid w:val="001C2D86"/>
    <w:rsid w:val="001C35F5"/>
    <w:rsid w:val="001D2C56"/>
    <w:rsid w:val="001E4B39"/>
    <w:rsid w:val="001F62CC"/>
    <w:rsid w:val="001F6F47"/>
    <w:rsid w:val="001F7918"/>
    <w:rsid w:val="00212B37"/>
    <w:rsid w:val="00220885"/>
    <w:rsid w:val="002402F0"/>
    <w:rsid w:val="00246B7C"/>
    <w:rsid w:val="00247A99"/>
    <w:rsid w:val="002612B4"/>
    <w:rsid w:val="00262224"/>
    <w:rsid w:val="002653B3"/>
    <w:rsid w:val="002920CC"/>
    <w:rsid w:val="00294494"/>
    <w:rsid w:val="00297D08"/>
    <w:rsid w:val="002A4A79"/>
    <w:rsid w:val="002A56DA"/>
    <w:rsid w:val="002A65D6"/>
    <w:rsid w:val="002B2723"/>
    <w:rsid w:val="002B3F27"/>
    <w:rsid w:val="002B52F3"/>
    <w:rsid w:val="002C78DB"/>
    <w:rsid w:val="002D2B11"/>
    <w:rsid w:val="002D3616"/>
    <w:rsid w:val="002D5D68"/>
    <w:rsid w:val="002D7CC8"/>
    <w:rsid w:val="002E0509"/>
    <w:rsid w:val="002E289E"/>
    <w:rsid w:val="002E687A"/>
    <w:rsid w:val="002F26E6"/>
    <w:rsid w:val="002F2760"/>
    <w:rsid w:val="00301EA0"/>
    <w:rsid w:val="0030716E"/>
    <w:rsid w:val="00315978"/>
    <w:rsid w:val="00324185"/>
    <w:rsid w:val="00326ACA"/>
    <w:rsid w:val="00330DAD"/>
    <w:rsid w:val="00331749"/>
    <w:rsid w:val="0033210F"/>
    <w:rsid w:val="003353A7"/>
    <w:rsid w:val="003407B3"/>
    <w:rsid w:val="00351254"/>
    <w:rsid w:val="00351686"/>
    <w:rsid w:val="00355571"/>
    <w:rsid w:val="0035704A"/>
    <w:rsid w:val="003574A0"/>
    <w:rsid w:val="00360221"/>
    <w:rsid w:val="003646CA"/>
    <w:rsid w:val="00367DE3"/>
    <w:rsid w:val="00392FB0"/>
    <w:rsid w:val="00393F11"/>
    <w:rsid w:val="00397D4E"/>
    <w:rsid w:val="003A23E0"/>
    <w:rsid w:val="003B07FB"/>
    <w:rsid w:val="003B73BA"/>
    <w:rsid w:val="003C3C33"/>
    <w:rsid w:val="003C4FF1"/>
    <w:rsid w:val="003C518E"/>
    <w:rsid w:val="003C6905"/>
    <w:rsid w:val="003C7C43"/>
    <w:rsid w:val="003D6D88"/>
    <w:rsid w:val="003F21BF"/>
    <w:rsid w:val="003F6705"/>
    <w:rsid w:val="003F720F"/>
    <w:rsid w:val="00401E91"/>
    <w:rsid w:val="00403376"/>
    <w:rsid w:val="004047DB"/>
    <w:rsid w:val="00413942"/>
    <w:rsid w:val="004204FD"/>
    <w:rsid w:val="00425504"/>
    <w:rsid w:val="0042678F"/>
    <w:rsid w:val="004317D3"/>
    <w:rsid w:val="004342CF"/>
    <w:rsid w:val="00434C6F"/>
    <w:rsid w:val="0043785D"/>
    <w:rsid w:val="0044104C"/>
    <w:rsid w:val="00457860"/>
    <w:rsid w:val="004613CC"/>
    <w:rsid w:val="00471A5E"/>
    <w:rsid w:val="00472E0E"/>
    <w:rsid w:val="004735D5"/>
    <w:rsid w:val="00481F62"/>
    <w:rsid w:val="00483A02"/>
    <w:rsid w:val="00486768"/>
    <w:rsid w:val="00494F46"/>
    <w:rsid w:val="004A0F4B"/>
    <w:rsid w:val="004A4337"/>
    <w:rsid w:val="004B15A5"/>
    <w:rsid w:val="004B2350"/>
    <w:rsid w:val="004B2AB0"/>
    <w:rsid w:val="004C4830"/>
    <w:rsid w:val="004D112D"/>
    <w:rsid w:val="004D50D5"/>
    <w:rsid w:val="0050104B"/>
    <w:rsid w:val="00504276"/>
    <w:rsid w:val="005074C4"/>
    <w:rsid w:val="005161F6"/>
    <w:rsid w:val="00516D2A"/>
    <w:rsid w:val="0053286E"/>
    <w:rsid w:val="00534416"/>
    <w:rsid w:val="00542859"/>
    <w:rsid w:val="00543104"/>
    <w:rsid w:val="00560CED"/>
    <w:rsid w:val="0056790E"/>
    <w:rsid w:val="00567C1E"/>
    <w:rsid w:val="00574463"/>
    <w:rsid w:val="005813C9"/>
    <w:rsid w:val="005828E1"/>
    <w:rsid w:val="005920DD"/>
    <w:rsid w:val="00592B74"/>
    <w:rsid w:val="005A0086"/>
    <w:rsid w:val="005A61B0"/>
    <w:rsid w:val="005B5D5C"/>
    <w:rsid w:val="005C360C"/>
    <w:rsid w:val="005D1186"/>
    <w:rsid w:val="005D1363"/>
    <w:rsid w:val="005D6142"/>
    <w:rsid w:val="005D7EED"/>
    <w:rsid w:val="005E695E"/>
    <w:rsid w:val="00601ECE"/>
    <w:rsid w:val="00607DDF"/>
    <w:rsid w:val="00612B7B"/>
    <w:rsid w:val="00613C26"/>
    <w:rsid w:val="00614C02"/>
    <w:rsid w:val="00615343"/>
    <w:rsid w:val="006166C2"/>
    <w:rsid w:val="00632F00"/>
    <w:rsid w:val="0064483D"/>
    <w:rsid w:val="0064569D"/>
    <w:rsid w:val="00651D93"/>
    <w:rsid w:val="0067246B"/>
    <w:rsid w:val="00682688"/>
    <w:rsid w:val="006829FF"/>
    <w:rsid w:val="006842D2"/>
    <w:rsid w:val="0069415C"/>
    <w:rsid w:val="006A1889"/>
    <w:rsid w:val="006A4087"/>
    <w:rsid w:val="006B15A1"/>
    <w:rsid w:val="006C0611"/>
    <w:rsid w:val="006D0537"/>
    <w:rsid w:val="006D3B92"/>
    <w:rsid w:val="006D51C7"/>
    <w:rsid w:val="006D7EF2"/>
    <w:rsid w:val="006E02CA"/>
    <w:rsid w:val="006E2807"/>
    <w:rsid w:val="006E782B"/>
    <w:rsid w:val="00701B19"/>
    <w:rsid w:val="00701BBC"/>
    <w:rsid w:val="00707912"/>
    <w:rsid w:val="00710CCF"/>
    <w:rsid w:val="00722340"/>
    <w:rsid w:val="00731990"/>
    <w:rsid w:val="007322F7"/>
    <w:rsid w:val="00737325"/>
    <w:rsid w:val="00740724"/>
    <w:rsid w:val="007466D4"/>
    <w:rsid w:val="00753E11"/>
    <w:rsid w:val="0075500B"/>
    <w:rsid w:val="0075560C"/>
    <w:rsid w:val="007562B3"/>
    <w:rsid w:val="00792953"/>
    <w:rsid w:val="00796C00"/>
    <w:rsid w:val="007A3189"/>
    <w:rsid w:val="007A4665"/>
    <w:rsid w:val="007A4F80"/>
    <w:rsid w:val="007A62E2"/>
    <w:rsid w:val="007A76D4"/>
    <w:rsid w:val="007B52C9"/>
    <w:rsid w:val="007B6CFF"/>
    <w:rsid w:val="007B7D1E"/>
    <w:rsid w:val="007C1F7B"/>
    <w:rsid w:val="007C57EE"/>
    <w:rsid w:val="007C67BE"/>
    <w:rsid w:val="007D0030"/>
    <w:rsid w:val="007D1E7C"/>
    <w:rsid w:val="007D48B3"/>
    <w:rsid w:val="007E1737"/>
    <w:rsid w:val="007E2E60"/>
    <w:rsid w:val="007E661A"/>
    <w:rsid w:val="008224F9"/>
    <w:rsid w:val="008229DF"/>
    <w:rsid w:val="0082370A"/>
    <w:rsid w:val="00832CC6"/>
    <w:rsid w:val="00833972"/>
    <w:rsid w:val="008347DC"/>
    <w:rsid w:val="00843A0B"/>
    <w:rsid w:val="008441E3"/>
    <w:rsid w:val="00851B4B"/>
    <w:rsid w:val="00855E5C"/>
    <w:rsid w:val="00872C57"/>
    <w:rsid w:val="00872EFA"/>
    <w:rsid w:val="00874688"/>
    <w:rsid w:val="00876C46"/>
    <w:rsid w:val="00877B74"/>
    <w:rsid w:val="0088606E"/>
    <w:rsid w:val="0089332A"/>
    <w:rsid w:val="0089593D"/>
    <w:rsid w:val="008A319C"/>
    <w:rsid w:val="008B1EB2"/>
    <w:rsid w:val="008B3ADA"/>
    <w:rsid w:val="008B6C31"/>
    <w:rsid w:val="008C20F7"/>
    <w:rsid w:val="008C38CA"/>
    <w:rsid w:val="008C63A3"/>
    <w:rsid w:val="008D05E6"/>
    <w:rsid w:val="008E24F0"/>
    <w:rsid w:val="008E4257"/>
    <w:rsid w:val="008F1E30"/>
    <w:rsid w:val="008F3D03"/>
    <w:rsid w:val="008F5DCD"/>
    <w:rsid w:val="0090702E"/>
    <w:rsid w:val="00913620"/>
    <w:rsid w:val="00916636"/>
    <w:rsid w:val="00916EC6"/>
    <w:rsid w:val="0092069E"/>
    <w:rsid w:val="00934D13"/>
    <w:rsid w:val="00946CFB"/>
    <w:rsid w:val="00950AB2"/>
    <w:rsid w:val="00954A0E"/>
    <w:rsid w:val="009577AC"/>
    <w:rsid w:val="00963A08"/>
    <w:rsid w:val="009738B3"/>
    <w:rsid w:val="00974591"/>
    <w:rsid w:val="00987E11"/>
    <w:rsid w:val="0099001D"/>
    <w:rsid w:val="00993BA7"/>
    <w:rsid w:val="009A5B17"/>
    <w:rsid w:val="009C2949"/>
    <w:rsid w:val="009C6E94"/>
    <w:rsid w:val="009D3D93"/>
    <w:rsid w:val="009D7A94"/>
    <w:rsid w:val="009E7A94"/>
    <w:rsid w:val="009F2617"/>
    <w:rsid w:val="009F27C7"/>
    <w:rsid w:val="009F37D2"/>
    <w:rsid w:val="009F73C1"/>
    <w:rsid w:val="00A100F6"/>
    <w:rsid w:val="00A11561"/>
    <w:rsid w:val="00A11F81"/>
    <w:rsid w:val="00A16476"/>
    <w:rsid w:val="00A27FF0"/>
    <w:rsid w:val="00A44AF2"/>
    <w:rsid w:val="00A549A7"/>
    <w:rsid w:val="00A578B3"/>
    <w:rsid w:val="00A60726"/>
    <w:rsid w:val="00A608DF"/>
    <w:rsid w:val="00A77499"/>
    <w:rsid w:val="00A87207"/>
    <w:rsid w:val="00AA0A63"/>
    <w:rsid w:val="00AA7EBC"/>
    <w:rsid w:val="00AB3F34"/>
    <w:rsid w:val="00AB434A"/>
    <w:rsid w:val="00AB77A5"/>
    <w:rsid w:val="00AD3E30"/>
    <w:rsid w:val="00AE4023"/>
    <w:rsid w:val="00AE41DF"/>
    <w:rsid w:val="00AF473B"/>
    <w:rsid w:val="00B06CD0"/>
    <w:rsid w:val="00B07B06"/>
    <w:rsid w:val="00B15CB6"/>
    <w:rsid w:val="00B205CC"/>
    <w:rsid w:val="00B21FBE"/>
    <w:rsid w:val="00B22B6E"/>
    <w:rsid w:val="00B341D5"/>
    <w:rsid w:val="00B3547F"/>
    <w:rsid w:val="00B46C38"/>
    <w:rsid w:val="00B505B4"/>
    <w:rsid w:val="00B50FA0"/>
    <w:rsid w:val="00B51244"/>
    <w:rsid w:val="00B536E4"/>
    <w:rsid w:val="00B56519"/>
    <w:rsid w:val="00B621C3"/>
    <w:rsid w:val="00B70532"/>
    <w:rsid w:val="00B74669"/>
    <w:rsid w:val="00B84746"/>
    <w:rsid w:val="00B9025E"/>
    <w:rsid w:val="00B9281B"/>
    <w:rsid w:val="00B92AC7"/>
    <w:rsid w:val="00B96DA6"/>
    <w:rsid w:val="00B97862"/>
    <w:rsid w:val="00B97EB9"/>
    <w:rsid w:val="00BA3AA7"/>
    <w:rsid w:val="00BA57FE"/>
    <w:rsid w:val="00BB256C"/>
    <w:rsid w:val="00BB3C6F"/>
    <w:rsid w:val="00BB7412"/>
    <w:rsid w:val="00BC103C"/>
    <w:rsid w:val="00BC7ABF"/>
    <w:rsid w:val="00BD1BDB"/>
    <w:rsid w:val="00BD3D1C"/>
    <w:rsid w:val="00BD6335"/>
    <w:rsid w:val="00BF2918"/>
    <w:rsid w:val="00C038BC"/>
    <w:rsid w:val="00C15556"/>
    <w:rsid w:val="00C24D2C"/>
    <w:rsid w:val="00C25C25"/>
    <w:rsid w:val="00C26884"/>
    <w:rsid w:val="00C3011A"/>
    <w:rsid w:val="00C377F1"/>
    <w:rsid w:val="00C4351D"/>
    <w:rsid w:val="00C4405D"/>
    <w:rsid w:val="00C45178"/>
    <w:rsid w:val="00C47476"/>
    <w:rsid w:val="00C518DE"/>
    <w:rsid w:val="00C52664"/>
    <w:rsid w:val="00C5570D"/>
    <w:rsid w:val="00C60815"/>
    <w:rsid w:val="00C609E5"/>
    <w:rsid w:val="00C647F9"/>
    <w:rsid w:val="00C668D1"/>
    <w:rsid w:val="00C73F42"/>
    <w:rsid w:val="00C74DB3"/>
    <w:rsid w:val="00C74F23"/>
    <w:rsid w:val="00C853C4"/>
    <w:rsid w:val="00CA0788"/>
    <w:rsid w:val="00CB5B5C"/>
    <w:rsid w:val="00CB6611"/>
    <w:rsid w:val="00CC237B"/>
    <w:rsid w:val="00CC4033"/>
    <w:rsid w:val="00CC5718"/>
    <w:rsid w:val="00CD13C4"/>
    <w:rsid w:val="00CD2E72"/>
    <w:rsid w:val="00CD40A5"/>
    <w:rsid w:val="00CD5713"/>
    <w:rsid w:val="00CE2A3E"/>
    <w:rsid w:val="00CE3C99"/>
    <w:rsid w:val="00CE5026"/>
    <w:rsid w:val="00CF4A71"/>
    <w:rsid w:val="00CF7C87"/>
    <w:rsid w:val="00D00DAA"/>
    <w:rsid w:val="00D04074"/>
    <w:rsid w:val="00D058CE"/>
    <w:rsid w:val="00D145E7"/>
    <w:rsid w:val="00D2079C"/>
    <w:rsid w:val="00D27446"/>
    <w:rsid w:val="00D36588"/>
    <w:rsid w:val="00D36FE4"/>
    <w:rsid w:val="00D40F77"/>
    <w:rsid w:val="00D414AA"/>
    <w:rsid w:val="00D472A3"/>
    <w:rsid w:val="00D57B86"/>
    <w:rsid w:val="00D7000C"/>
    <w:rsid w:val="00D74739"/>
    <w:rsid w:val="00D754B3"/>
    <w:rsid w:val="00D756DC"/>
    <w:rsid w:val="00D7641A"/>
    <w:rsid w:val="00D77A90"/>
    <w:rsid w:val="00D84A1A"/>
    <w:rsid w:val="00D851FF"/>
    <w:rsid w:val="00D85AAF"/>
    <w:rsid w:val="00D865AF"/>
    <w:rsid w:val="00D873FC"/>
    <w:rsid w:val="00D97959"/>
    <w:rsid w:val="00DA3263"/>
    <w:rsid w:val="00DA3889"/>
    <w:rsid w:val="00DB5B13"/>
    <w:rsid w:val="00DB72DD"/>
    <w:rsid w:val="00DC2FD5"/>
    <w:rsid w:val="00DC72F2"/>
    <w:rsid w:val="00DC758D"/>
    <w:rsid w:val="00DD63ED"/>
    <w:rsid w:val="00DE182C"/>
    <w:rsid w:val="00DE2009"/>
    <w:rsid w:val="00DE7834"/>
    <w:rsid w:val="00DF5614"/>
    <w:rsid w:val="00DF7188"/>
    <w:rsid w:val="00E21E2A"/>
    <w:rsid w:val="00E22B66"/>
    <w:rsid w:val="00E301A3"/>
    <w:rsid w:val="00E30CD3"/>
    <w:rsid w:val="00E30E40"/>
    <w:rsid w:val="00E52187"/>
    <w:rsid w:val="00E60C93"/>
    <w:rsid w:val="00E753FD"/>
    <w:rsid w:val="00E801DB"/>
    <w:rsid w:val="00E829EC"/>
    <w:rsid w:val="00E86755"/>
    <w:rsid w:val="00E86C23"/>
    <w:rsid w:val="00E934DD"/>
    <w:rsid w:val="00E95B3F"/>
    <w:rsid w:val="00EA7093"/>
    <w:rsid w:val="00EB02E3"/>
    <w:rsid w:val="00EB30B2"/>
    <w:rsid w:val="00EB7887"/>
    <w:rsid w:val="00EC2A71"/>
    <w:rsid w:val="00EC6A1E"/>
    <w:rsid w:val="00ED1576"/>
    <w:rsid w:val="00ED408F"/>
    <w:rsid w:val="00F0179D"/>
    <w:rsid w:val="00F01D5C"/>
    <w:rsid w:val="00F064C2"/>
    <w:rsid w:val="00F1780C"/>
    <w:rsid w:val="00F35FD4"/>
    <w:rsid w:val="00F46AC8"/>
    <w:rsid w:val="00F50289"/>
    <w:rsid w:val="00F53272"/>
    <w:rsid w:val="00F6480A"/>
    <w:rsid w:val="00F667A0"/>
    <w:rsid w:val="00F73C12"/>
    <w:rsid w:val="00F83E9D"/>
    <w:rsid w:val="00F85D11"/>
    <w:rsid w:val="00F91268"/>
    <w:rsid w:val="00F93806"/>
    <w:rsid w:val="00FA15F4"/>
    <w:rsid w:val="00FA4683"/>
    <w:rsid w:val="00FA6D63"/>
    <w:rsid w:val="00FB40A5"/>
    <w:rsid w:val="00FB474E"/>
    <w:rsid w:val="00FB7DC9"/>
    <w:rsid w:val="00FC3CB3"/>
    <w:rsid w:val="00FE1E07"/>
    <w:rsid w:val="00FE1F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942"/>
    <w:pPr>
      <w:spacing w:after="0" w:line="240" w:lineRule="auto"/>
      <w:jc w:val="both"/>
    </w:pPr>
    <w:rPr>
      <w:rFonts w:ascii="Arial" w:hAnsi="Arial"/>
      <w:sz w:val="24"/>
    </w:rPr>
  </w:style>
  <w:style w:type="paragraph" w:styleId="Titre1">
    <w:name w:val="heading 1"/>
    <w:basedOn w:val="Paragraphedeliste"/>
    <w:next w:val="Normal"/>
    <w:link w:val="Titre1Car"/>
    <w:uiPriority w:val="9"/>
    <w:qFormat/>
    <w:rsid w:val="005074C4"/>
    <w:pPr>
      <w:numPr>
        <w:numId w:val="2"/>
      </w:numPr>
      <w:outlineLvl w:val="0"/>
    </w:pPr>
    <w:rPr>
      <w:rFonts w:ascii="Arial Black" w:hAnsi="Arial Black"/>
      <w:b/>
      <w:color w:val="E81C23"/>
      <w:sz w:val="28"/>
    </w:rPr>
  </w:style>
  <w:style w:type="paragraph" w:styleId="Titre2">
    <w:name w:val="heading 2"/>
    <w:basedOn w:val="Normal"/>
    <w:next w:val="Normal"/>
    <w:link w:val="Titre2Car"/>
    <w:uiPriority w:val="9"/>
    <w:unhideWhenUsed/>
    <w:qFormat/>
    <w:rsid w:val="00B92AC7"/>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74591"/>
    <w:rPr>
      <w:rFonts w:ascii="Tahoma" w:hAnsi="Tahoma" w:cs="Tahoma"/>
      <w:sz w:val="16"/>
      <w:szCs w:val="16"/>
    </w:rPr>
  </w:style>
  <w:style w:type="character" w:customStyle="1" w:styleId="TextedebullesCar">
    <w:name w:val="Texte de bulles Car"/>
    <w:basedOn w:val="Policepardfaut"/>
    <w:link w:val="Textedebulles"/>
    <w:uiPriority w:val="99"/>
    <w:semiHidden/>
    <w:rsid w:val="00974591"/>
    <w:rPr>
      <w:rFonts w:ascii="Tahoma" w:hAnsi="Tahoma" w:cs="Tahoma"/>
      <w:sz w:val="16"/>
      <w:szCs w:val="16"/>
    </w:rPr>
  </w:style>
  <w:style w:type="paragraph" w:styleId="Paragraphedeliste">
    <w:name w:val="List Paragraph"/>
    <w:basedOn w:val="Normal"/>
    <w:uiPriority w:val="34"/>
    <w:qFormat/>
    <w:rsid w:val="00974591"/>
    <w:pPr>
      <w:ind w:left="720"/>
      <w:contextualSpacing/>
    </w:pPr>
  </w:style>
  <w:style w:type="character" w:styleId="Lienhypertexte">
    <w:name w:val="Hyperlink"/>
    <w:basedOn w:val="Policepardfaut"/>
    <w:uiPriority w:val="99"/>
    <w:unhideWhenUsed/>
    <w:rsid w:val="00F01D5C"/>
    <w:rPr>
      <w:color w:val="0000FF"/>
      <w:u w:val="single"/>
    </w:rPr>
  </w:style>
  <w:style w:type="table" w:styleId="Grilledutableau">
    <w:name w:val="Table Grid"/>
    <w:basedOn w:val="TableauNormal"/>
    <w:uiPriority w:val="39"/>
    <w:rsid w:val="00F01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D1561"/>
    <w:pPr>
      <w:tabs>
        <w:tab w:val="center" w:pos="4536"/>
        <w:tab w:val="right" w:pos="9072"/>
      </w:tabs>
    </w:pPr>
  </w:style>
  <w:style w:type="character" w:customStyle="1" w:styleId="En-tteCar">
    <w:name w:val="En-tête Car"/>
    <w:basedOn w:val="Policepardfaut"/>
    <w:link w:val="En-tte"/>
    <w:uiPriority w:val="99"/>
    <w:rsid w:val="000D1561"/>
    <w:rPr>
      <w:rFonts w:ascii="Arial" w:hAnsi="Arial"/>
      <w:sz w:val="24"/>
    </w:rPr>
  </w:style>
  <w:style w:type="paragraph" w:styleId="Pieddepage">
    <w:name w:val="footer"/>
    <w:basedOn w:val="Normal"/>
    <w:link w:val="PieddepageCar"/>
    <w:uiPriority w:val="99"/>
    <w:unhideWhenUsed/>
    <w:rsid w:val="000D1561"/>
    <w:pPr>
      <w:tabs>
        <w:tab w:val="center" w:pos="4536"/>
        <w:tab w:val="right" w:pos="9072"/>
      </w:tabs>
    </w:pPr>
  </w:style>
  <w:style w:type="character" w:customStyle="1" w:styleId="PieddepageCar">
    <w:name w:val="Pied de page Car"/>
    <w:basedOn w:val="Policepardfaut"/>
    <w:link w:val="Pieddepage"/>
    <w:uiPriority w:val="99"/>
    <w:rsid w:val="000D1561"/>
    <w:rPr>
      <w:rFonts w:ascii="Arial" w:hAnsi="Arial"/>
      <w:sz w:val="24"/>
    </w:rPr>
  </w:style>
  <w:style w:type="character" w:customStyle="1" w:styleId="Titre1Car">
    <w:name w:val="Titre 1 Car"/>
    <w:basedOn w:val="Policepardfaut"/>
    <w:link w:val="Titre1"/>
    <w:uiPriority w:val="9"/>
    <w:rsid w:val="005074C4"/>
    <w:rPr>
      <w:rFonts w:ascii="Arial Black" w:hAnsi="Arial Black"/>
      <w:b/>
      <w:color w:val="E81C23"/>
      <w:sz w:val="28"/>
    </w:rPr>
  </w:style>
  <w:style w:type="character" w:customStyle="1" w:styleId="Titre2Car">
    <w:name w:val="Titre 2 Car"/>
    <w:basedOn w:val="Policepardfaut"/>
    <w:link w:val="Titre2"/>
    <w:uiPriority w:val="9"/>
    <w:rsid w:val="00B92AC7"/>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942"/>
    <w:pPr>
      <w:spacing w:after="0" w:line="240" w:lineRule="auto"/>
      <w:jc w:val="both"/>
    </w:pPr>
    <w:rPr>
      <w:rFonts w:ascii="Arial" w:hAnsi="Arial"/>
      <w:sz w:val="24"/>
    </w:rPr>
  </w:style>
  <w:style w:type="paragraph" w:styleId="Titre1">
    <w:name w:val="heading 1"/>
    <w:basedOn w:val="Paragraphedeliste"/>
    <w:next w:val="Normal"/>
    <w:link w:val="Titre1Car"/>
    <w:uiPriority w:val="9"/>
    <w:qFormat/>
    <w:rsid w:val="005074C4"/>
    <w:pPr>
      <w:numPr>
        <w:numId w:val="2"/>
      </w:numPr>
      <w:outlineLvl w:val="0"/>
    </w:pPr>
    <w:rPr>
      <w:rFonts w:ascii="Arial Black" w:hAnsi="Arial Black"/>
      <w:b/>
      <w:color w:val="E81C23"/>
      <w:sz w:val="28"/>
    </w:rPr>
  </w:style>
  <w:style w:type="paragraph" w:styleId="Titre2">
    <w:name w:val="heading 2"/>
    <w:basedOn w:val="Normal"/>
    <w:next w:val="Normal"/>
    <w:link w:val="Titre2Car"/>
    <w:uiPriority w:val="9"/>
    <w:unhideWhenUsed/>
    <w:qFormat/>
    <w:rsid w:val="00B92AC7"/>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74591"/>
    <w:rPr>
      <w:rFonts w:ascii="Tahoma" w:hAnsi="Tahoma" w:cs="Tahoma"/>
      <w:sz w:val="16"/>
      <w:szCs w:val="16"/>
    </w:rPr>
  </w:style>
  <w:style w:type="character" w:customStyle="1" w:styleId="TextedebullesCar">
    <w:name w:val="Texte de bulles Car"/>
    <w:basedOn w:val="Policepardfaut"/>
    <w:link w:val="Textedebulles"/>
    <w:uiPriority w:val="99"/>
    <w:semiHidden/>
    <w:rsid w:val="00974591"/>
    <w:rPr>
      <w:rFonts w:ascii="Tahoma" w:hAnsi="Tahoma" w:cs="Tahoma"/>
      <w:sz w:val="16"/>
      <w:szCs w:val="16"/>
    </w:rPr>
  </w:style>
  <w:style w:type="paragraph" w:styleId="Paragraphedeliste">
    <w:name w:val="List Paragraph"/>
    <w:basedOn w:val="Normal"/>
    <w:uiPriority w:val="34"/>
    <w:qFormat/>
    <w:rsid w:val="00974591"/>
    <w:pPr>
      <w:ind w:left="720"/>
      <w:contextualSpacing/>
    </w:pPr>
  </w:style>
  <w:style w:type="character" w:styleId="Lienhypertexte">
    <w:name w:val="Hyperlink"/>
    <w:basedOn w:val="Policepardfaut"/>
    <w:uiPriority w:val="99"/>
    <w:unhideWhenUsed/>
    <w:rsid w:val="00F01D5C"/>
    <w:rPr>
      <w:color w:val="0000FF"/>
      <w:u w:val="single"/>
    </w:rPr>
  </w:style>
  <w:style w:type="table" w:styleId="Grilledutableau">
    <w:name w:val="Table Grid"/>
    <w:basedOn w:val="TableauNormal"/>
    <w:uiPriority w:val="39"/>
    <w:rsid w:val="00F01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D1561"/>
    <w:pPr>
      <w:tabs>
        <w:tab w:val="center" w:pos="4536"/>
        <w:tab w:val="right" w:pos="9072"/>
      </w:tabs>
    </w:pPr>
  </w:style>
  <w:style w:type="character" w:customStyle="1" w:styleId="En-tteCar">
    <w:name w:val="En-tête Car"/>
    <w:basedOn w:val="Policepardfaut"/>
    <w:link w:val="En-tte"/>
    <w:uiPriority w:val="99"/>
    <w:rsid w:val="000D1561"/>
    <w:rPr>
      <w:rFonts w:ascii="Arial" w:hAnsi="Arial"/>
      <w:sz w:val="24"/>
    </w:rPr>
  </w:style>
  <w:style w:type="paragraph" w:styleId="Pieddepage">
    <w:name w:val="footer"/>
    <w:basedOn w:val="Normal"/>
    <w:link w:val="PieddepageCar"/>
    <w:uiPriority w:val="99"/>
    <w:unhideWhenUsed/>
    <w:rsid w:val="000D1561"/>
    <w:pPr>
      <w:tabs>
        <w:tab w:val="center" w:pos="4536"/>
        <w:tab w:val="right" w:pos="9072"/>
      </w:tabs>
    </w:pPr>
  </w:style>
  <w:style w:type="character" w:customStyle="1" w:styleId="PieddepageCar">
    <w:name w:val="Pied de page Car"/>
    <w:basedOn w:val="Policepardfaut"/>
    <w:link w:val="Pieddepage"/>
    <w:uiPriority w:val="99"/>
    <w:rsid w:val="000D1561"/>
    <w:rPr>
      <w:rFonts w:ascii="Arial" w:hAnsi="Arial"/>
      <w:sz w:val="24"/>
    </w:rPr>
  </w:style>
  <w:style w:type="character" w:customStyle="1" w:styleId="Titre1Car">
    <w:name w:val="Titre 1 Car"/>
    <w:basedOn w:val="Policepardfaut"/>
    <w:link w:val="Titre1"/>
    <w:uiPriority w:val="9"/>
    <w:rsid w:val="005074C4"/>
    <w:rPr>
      <w:rFonts w:ascii="Arial Black" w:hAnsi="Arial Black"/>
      <w:b/>
      <w:color w:val="E81C23"/>
      <w:sz w:val="28"/>
    </w:rPr>
  </w:style>
  <w:style w:type="character" w:customStyle="1" w:styleId="Titre2Car">
    <w:name w:val="Titre 2 Car"/>
    <w:basedOn w:val="Policepardfaut"/>
    <w:link w:val="Titre2"/>
    <w:uiPriority w:val="9"/>
    <w:rsid w:val="00B92AC7"/>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yperlink" Target="mailto:pcrevel@cercledelepargne.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yperlink" Target="mailto:slegouez@cercledelepargne.fr" TargetMode="Externa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fr-FR" sz="1200" cap="small" baseline="0">
                <a:latin typeface="Calibri (Corps)"/>
              </a:rPr>
              <a:t>que souhaitez-vous comme imposition </a:t>
            </a:r>
          </a:p>
          <a:p>
            <a:pPr>
              <a:defRPr sz="1200" baseline="0"/>
            </a:pPr>
            <a:r>
              <a:rPr lang="fr-FR" sz="1200" cap="small" baseline="0">
                <a:latin typeface="Calibri (Corps)"/>
              </a:rPr>
              <a:t>pour les revenus de l'épargne  ? (en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2"/>
          <c:order val="0"/>
          <c:tx>
            <c:strRef>
              <c:f>'taxation epargne'!$A$15:$C$15</c:f>
              <c:strCache>
                <c:ptCount val="1"/>
                <c:pt idx="0">
                  <c:v>Taxation à un taux libératoire de 15 %</c:v>
                </c:pt>
              </c:strCache>
            </c:strRef>
          </c:tx>
          <c:spPr>
            <a:solidFill>
              <a:srgbClr val="00B6BC"/>
            </a:solidFill>
            <a:ln>
              <a:noFill/>
            </a:ln>
          </c:spPr>
          <c:invertIfNegative val="0"/>
          <c:dLbls>
            <c:txPr>
              <a:bodyPr/>
              <a:lstStyle/>
              <a:p>
                <a:pPr>
                  <a:defRPr b="1">
                    <a:solidFill>
                      <a:schemeClr val="bg1"/>
                    </a:solidFill>
                  </a:defRPr>
                </a:pPr>
                <a:endParaRPr lang="fr-FR"/>
              </a:p>
            </c:txPr>
            <c:showLegendKey val="0"/>
            <c:showVal val="1"/>
            <c:showCatName val="0"/>
            <c:showSerName val="0"/>
            <c:showPercent val="0"/>
            <c:showBubbleSize val="0"/>
            <c:showLeaderLines val="0"/>
          </c:dLbls>
          <c:cat>
            <c:strRef>
              <c:f>'taxation epargne'!$D$12</c:f>
              <c:strCache>
                <c:ptCount val="1"/>
                <c:pt idx="0">
                  <c:v>Ensemble des Français</c:v>
                </c:pt>
              </c:strCache>
            </c:strRef>
          </c:cat>
          <c:val>
            <c:numRef>
              <c:f>'taxation epargne'!$D$15</c:f>
              <c:numCache>
                <c:formatCode>General</c:formatCode>
                <c:ptCount val="1"/>
                <c:pt idx="0">
                  <c:v>66</c:v>
                </c:pt>
              </c:numCache>
            </c:numRef>
          </c:val>
        </c:ser>
        <c:ser>
          <c:idx val="1"/>
          <c:order val="1"/>
          <c:tx>
            <c:strRef>
              <c:f>'taxation epargne'!$A$14:$C$14</c:f>
              <c:strCache>
                <c:ptCount val="1"/>
                <c:pt idx="0">
                  <c:v>Taxation à un taux libératoire de 30 %</c:v>
                </c:pt>
              </c:strCache>
            </c:strRef>
          </c:tx>
          <c:spPr>
            <a:solidFill>
              <a:srgbClr val="1C5484"/>
            </a:solidFill>
            <a:ln>
              <a:noFill/>
            </a:ln>
          </c:spPr>
          <c:invertIfNegative val="0"/>
          <c:dLbls>
            <c:txPr>
              <a:bodyPr/>
              <a:lstStyle/>
              <a:p>
                <a:pPr>
                  <a:defRPr b="1">
                    <a:solidFill>
                      <a:schemeClr val="bg1"/>
                    </a:solidFill>
                  </a:defRPr>
                </a:pPr>
                <a:endParaRPr lang="fr-FR"/>
              </a:p>
            </c:txPr>
            <c:showLegendKey val="0"/>
            <c:showVal val="1"/>
            <c:showCatName val="0"/>
            <c:showSerName val="0"/>
            <c:showPercent val="0"/>
            <c:showBubbleSize val="0"/>
            <c:showLeaderLines val="0"/>
          </c:dLbls>
          <c:cat>
            <c:strRef>
              <c:f>'taxation epargne'!$D$12</c:f>
              <c:strCache>
                <c:ptCount val="1"/>
                <c:pt idx="0">
                  <c:v>Ensemble des Français</c:v>
                </c:pt>
              </c:strCache>
            </c:strRef>
          </c:cat>
          <c:val>
            <c:numRef>
              <c:f>'taxation epargne'!$D$14</c:f>
              <c:numCache>
                <c:formatCode>General</c:formatCode>
                <c:ptCount val="1"/>
                <c:pt idx="0">
                  <c:v>28</c:v>
                </c:pt>
              </c:numCache>
            </c:numRef>
          </c:val>
        </c:ser>
        <c:ser>
          <c:idx val="0"/>
          <c:order val="2"/>
          <c:tx>
            <c:strRef>
              <c:f>'taxation epargne'!$A$13:$C$13</c:f>
              <c:strCache>
                <c:ptCount val="1"/>
                <c:pt idx="0">
                  <c:v>Taxation comme les revenus du travail</c:v>
                </c:pt>
              </c:strCache>
            </c:strRef>
          </c:tx>
          <c:spPr>
            <a:solidFill>
              <a:srgbClr val="DC1F27"/>
            </a:solidFill>
          </c:spPr>
          <c:invertIfNegative val="0"/>
          <c:dLbls>
            <c:txPr>
              <a:bodyPr/>
              <a:lstStyle/>
              <a:p>
                <a:pPr>
                  <a:defRPr b="1">
                    <a:solidFill>
                      <a:schemeClr val="bg1"/>
                    </a:solidFill>
                  </a:defRPr>
                </a:pPr>
                <a:endParaRPr lang="fr-FR"/>
              </a:p>
            </c:txPr>
            <c:showLegendKey val="0"/>
            <c:showVal val="1"/>
            <c:showCatName val="0"/>
            <c:showSerName val="0"/>
            <c:showPercent val="0"/>
            <c:showBubbleSize val="0"/>
            <c:showLeaderLines val="0"/>
          </c:dLbls>
          <c:cat>
            <c:strRef>
              <c:f>'taxation epargne'!$D$12</c:f>
              <c:strCache>
                <c:ptCount val="1"/>
                <c:pt idx="0">
                  <c:v>Ensemble des Français</c:v>
                </c:pt>
              </c:strCache>
            </c:strRef>
          </c:cat>
          <c:val>
            <c:numRef>
              <c:f>'taxation epargne'!$D$13</c:f>
              <c:numCache>
                <c:formatCode>General</c:formatCode>
                <c:ptCount val="1"/>
                <c:pt idx="0">
                  <c:v>6</c:v>
                </c:pt>
              </c:numCache>
            </c:numRef>
          </c:val>
        </c:ser>
        <c:dLbls>
          <c:showLegendKey val="0"/>
          <c:showVal val="1"/>
          <c:showCatName val="0"/>
          <c:showSerName val="0"/>
          <c:showPercent val="0"/>
          <c:showBubbleSize val="0"/>
        </c:dLbls>
        <c:gapWidth val="150"/>
        <c:shape val="cylinder"/>
        <c:axId val="115976064"/>
        <c:axId val="116548352"/>
        <c:axId val="0"/>
      </c:bar3DChart>
      <c:catAx>
        <c:axId val="115976064"/>
        <c:scaling>
          <c:orientation val="minMax"/>
        </c:scaling>
        <c:delete val="0"/>
        <c:axPos val="b"/>
        <c:majorTickMark val="none"/>
        <c:minorTickMark val="none"/>
        <c:tickLblPos val="nextTo"/>
        <c:txPr>
          <a:bodyPr/>
          <a:lstStyle/>
          <a:p>
            <a:pPr>
              <a:defRPr b="0" cap="small" baseline="0"/>
            </a:pPr>
            <a:endParaRPr lang="fr-FR"/>
          </a:p>
        </c:txPr>
        <c:crossAx val="116548352"/>
        <c:crosses val="autoZero"/>
        <c:auto val="1"/>
        <c:lblAlgn val="ctr"/>
        <c:lblOffset val="100"/>
        <c:noMultiLvlLbl val="0"/>
      </c:catAx>
      <c:valAx>
        <c:axId val="116548352"/>
        <c:scaling>
          <c:orientation val="minMax"/>
        </c:scaling>
        <c:delete val="1"/>
        <c:axPos val="l"/>
        <c:numFmt formatCode="General" sourceLinked="1"/>
        <c:majorTickMark val="none"/>
        <c:minorTickMark val="none"/>
        <c:tickLblPos val="nextTo"/>
        <c:crossAx val="115976064"/>
        <c:crosses val="autoZero"/>
        <c:crossBetween val="between"/>
      </c:valAx>
    </c:plotArea>
    <c:legend>
      <c:legendPos val="t"/>
      <c:overlay val="0"/>
      <c:txPr>
        <a:bodyPr/>
        <a:lstStyle/>
        <a:p>
          <a:pPr>
            <a:defRPr b="0" cap="small" baseline="0"/>
          </a:pPr>
          <a:endParaRPr lang="fr-FR"/>
        </a:p>
      </c:txPr>
    </c:legend>
    <c:plotVisOnly val="1"/>
    <c:dispBlanksAs val="gap"/>
    <c:showDLblsOverMax val="0"/>
  </c:chart>
  <c:spPr>
    <a:no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small" spc="0" baseline="0">
                <a:solidFill>
                  <a:sysClr val="windowText" lastClr="000000"/>
                </a:solidFill>
                <a:latin typeface="+mn-lt"/>
                <a:ea typeface="+mn-ea"/>
                <a:cs typeface="+mn-cs"/>
              </a:defRPr>
            </a:pPr>
            <a:r>
              <a:rPr lang="en-US" sz="1200" b="1" cap="small" baseline="0">
                <a:solidFill>
                  <a:sysClr val="windowText" lastClr="000000"/>
                </a:solidFill>
              </a:rPr>
              <a:t>épargnez-vous pour votre retraite ?</a:t>
            </a:r>
          </a:p>
          <a:p>
            <a:pPr>
              <a:defRPr sz="1400" b="0" i="0" u="none" strike="noStrike" kern="1200" cap="small" spc="0" baseline="0">
                <a:solidFill>
                  <a:sysClr val="windowText" lastClr="000000"/>
                </a:solidFill>
                <a:latin typeface="+mn-lt"/>
                <a:ea typeface="+mn-ea"/>
                <a:cs typeface="+mn-cs"/>
              </a:defRPr>
            </a:pPr>
            <a:r>
              <a:rPr lang="en-US" sz="1200" b="1" cap="small" baseline="0">
                <a:solidFill>
                  <a:sysClr val="windowText" lastClr="000000"/>
                </a:solidFill>
              </a:rPr>
              <a:t>en %</a:t>
            </a:r>
          </a:p>
        </c:rich>
      </c:tx>
      <c:overlay val="0"/>
      <c:spPr>
        <a:noFill/>
        <a:ln>
          <a:noFill/>
        </a:ln>
        <a:effectLst/>
      </c:spPr>
    </c:title>
    <c:autoTitleDeleted val="0"/>
    <c:view3D>
      <c:rotX val="15"/>
      <c:rotY val="20"/>
      <c:depthPercent val="100"/>
      <c:rAngAx val="1"/>
    </c:view3D>
    <c:floor>
      <c:thickness val="0"/>
    </c:floor>
    <c:sideWall>
      <c:thickness val="0"/>
      <c:spPr>
        <a:noFill/>
        <a:ln>
          <a:noFill/>
        </a:ln>
        <a:effectLst/>
      </c:spPr>
    </c:sideWall>
    <c:backWall>
      <c:thickness val="0"/>
      <c:spPr>
        <a:noFill/>
        <a:ln>
          <a:noFill/>
        </a:ln>
        <a:effectLst/>
      </c:spPr>
    </c:backWall>
    <c:plotArea>
      <c:layout/>
      <c:bar3DChart>
        <c:barDir val="bar"/>
        <c:grouping val="clustered"/>
        <c:varyColors val="0"/>
        <c:ser>
          <c:idx val="1"/>
          <c:order val="0"/>
          <c:tx>
            <c:strRef>
              <c:f>'épargnez-vous pr la retraite '!$C$8</c:f>
              <c:strCache>
                <c:ptCount val="1"/>
                <c:pt idx="0">
                  <c:v>ensemble de Français </c:v>
                </c:pt>
              </c:strCache>
            </c:strRef>
          </c:tx>
          <c:spPr>
            <a:solidFill>
              <a:srgbClr val="1C5484"/>
            </a:solidFill>
            <a:ln>
              <a:noFill/>
            </a:ln>
            <a:effectLst/>
          </c:spPr>
          <c:invertIfNegative val="0"/>
          <c:dPt>
            <c:idx val="0"/>
            <c:invertIfNegative val="0"/>
            <c:bubble3D val="0"/>
            <c:spPr>
              <a:solidFill>
                <a:srgbClr val="DC1F27"/>
              </a:solidFill>
              <a:ln>
                <a:noFill/>
              </a:ln>
              <a:effectLst/>
            </c:spPr>
          </c:dPt>
          <c:dLbls>
            <c:dLbl>
              <c:idx val="0"/>
              <c:layout>
                <c:manualLayout>
                  <c:x val="1.32398757953699E-2"/>
                  <c:y val="-1.0594728552487564E-2"/>
                </c:manualLayout>
              </c:layout>
              <c:showLegendKey val="0"/>
              <c:showVal val="1"/>
              <c:showCatName val="0"/>
              <c:showSerName val="0"/>
              <c:showPercent val="0"/>
              <c:showBubbleSize val="0"/>
            </c:dLbl>
            <c:dLbl>
              <c:idx val="1"/>
              <c:layout>
                <c:manualLayout>
                  <c:x val="1.5446521761264884E-2"/>
                  <c:y val="-7.0631523683250428E-3"/>
                </c:manualLayout>
              </c:layout>
              <c:showLegendKey val="0"/>
              <c:showVal val="1"/>
              <c:showCatName val="0"/>
              <c:showSerName val="0"/>
              <c:showPercent val="0"/>
              <c:showBubbleSize val="0"/>
            </c:dLbl>
            <c:dLbl>
              <c:idx val="2"/>
              <c:layout>
                <c:manualLayout>
                  <c:x val="4.413291931789967E-3"/>
                  <c:y val="-1.0594728552487564E-2"/>
                </c:manualLayout>
              </c:layout>
              <c:showLegendKey val="0"/>
              <c:showVal val="1"/>
              <c:showCatName val="0"/>
              <c:showSerName val="0"/>
              <c:showPercent val="0"/>
              <c:showBubbleSize val="0"/>
            </c:dLbl>
            <c:dLbl>
              <c:idx val="3"/>
              <c:layout>
                <c:manualLayout>
                  <c:x val="6.61993789768495E-3"/>
                  <c:y val="-3.5315761841625214E-3"/>
                </c:manualLayout>
              </c:layout>
              <c:showLegendKey val="0"/>
              <c:showVal val="1"/>
              <c:showCatName val="0"/>
              <c:showSerName val="0"/>
              <c:showPercent val="0"/>
              <c:showBubbleSize val="0"/>
            </c:dLbl>
            <c:dLbl>
              <c:idx val="4"/>
              <c:layout>
                <c:manualLayout>
                  <c:x val="2.2066459658949836E-2"/>
                  <c:y val="-1.0594728552487564E-2"/>
                </c:manualLayout>
              </c:layout>
              <c:showLegendKey val="0"/>
              <c:showVal val="1"/>
              <c:showCatName val="0"/>
              <c:showSerName val="0"/>
              <c:showPercent val="0"/>
              <c:showBubbleSize val="0"/>
            </c:dLbl>
            <c:txPr>
              <a:bodyPr/>
              <a:lstStyle/>
              <a:p>
                <a:pPr>
                  <a:defRPr b="1">
                    <a:solidFill>
                      <a:sysClr val="windowText" lastClr="000000"/>
                    </a:solidFill>
                  </a:defRPr>
                </a:pPr>
                <a:endParaRPr lang="fr-FR"/>
              </a:p>
            </c:txPr>
            <c:showLegendKey val="0"/>
            <c:showVal val="1"/>
            <c:showCatName val="0"/>
            <c:showSerName val="0"/>
            <c:showPercent val="0"/>
            <c:showBubbleSize val="0"/>
            <c:showLeaderLines val="0"/>
          </c:dLbls>
          <c:cat>
            <c:strRef>
              <c:f>'épargnez-vous pr la retraite '!$A$9:$A$13</c:f>
              <c:strCache>
                <c:ptCount val="5"/>
                <c:pt idx="0">
                  <c:v>Total non</c:v>
                </c:pt>
                <c:pt idx="1">
                  <c:v>Oui très régulièrement</c:v>
                </c:pt>
                <c:pt idx="2">
                  <c:v>Oui assez régulièrement</c:v>
                </c:pt>
                <c:pt idx="3">
                  <c:v>Oui quand c'est possible</c:v>
                </c:pt>
                <c:pt idx="4">
                  <c:v>Total oui </c:v>
                </c:pt>
              </c:strCache>
            </c:strRef>
          </c:cat>
          <c:val>
            <c:numRef>
              <c:f>'épargnez-vous pr la retraite '!$C$9:$C$13</c:f>
              <c:numCache>
                <c:formatCode>General</c:formatCode>
                <c:ptCount val="5"/>
                <c:pt idx="0">
                  <c:v>46</c:v>
                </c:pt>
                <c:pt idx="1">
                  <c:v>9</c:v>
                </c:pt>
                <c:pt idx="2">
                  <c:v>14</c:v>
                </c:pt>
                <c:pt idx="3">
                  <c:v>31</c:v>
                </c:pt>
                <c:pt idx="4">
                  <c:v>54</c:v>
                </c:pt>
              </c:numCache>
            </c:numRef>
          </c:val>
        </c:ser>
        <c:dLbls>
          <c:showLegendKey val="0"/>
          <c:showVal val="0"/>
          <c:showCatName val="0"/>
          <c:showSerName val="0"/>
          <c:showPercent val="0"/>
          <c:showBubbleSize val="0"/>
        </c:dLbls>
        <c:gapWidth val="75"/>
        <c:shape val="box"/>
        <c:axId val="251296000"/>
        <c:axId val="252633088"/>
        <c:axId val="0"/>
      </c:bar3DChart>
      <c:catAx>
        <c:axId val="25129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small" baseline="0">
                <a:solidFill>
                  <a:sysClr val="windowText" lastClr="000000"/>
                </a:solidFill>
                <a:latin typeface="+mn-lt"/>
                <a:ea typeface="+mn-ea"/>
                <a:cs typeface="+mn-cs"/>
              </a:defRPr>
            </a:pPr>
            <a:endParaRPr lang="fr-FR"/>
          </a:p>
        </c:txPr>
        <c:crossAx val="252633088"/>
        <c:crosses val="autoZero"/>
        <c:auto val="1"/>
        <c:lblAlgn val="ctr"/>
        <c:lblOffset val="100"/>
        <c:noMultiLvlLbl val="0"/>
      </c:catAx>
      <c:valAx>
        <c:axId val="252633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251296000"/>
        <c:crosses val="autoZero"/>
        <c:crossBetween val="between"/>
      </c:valAx>
    </c:plotArea>
    <c:legend>
      <c:legendPos val="b"/>
      <c:overlay val="0"/>
      <c:txPr>
        <a:bodyPr/>
        <a:lstStyle/>
        <a:p>
          <a:pPr>
            <a:defRPr cap="small" baseline="0"/>
          </a:pPr>
          <a:endParaRPr lang="fr-FR"/>
        </a:p>
      </c:txPr>
    </c:legend>
    <c:plotVisOnly val="1"/>
    <c:dispBlanksAs val="gap"/>
    <c:showDLblsOverMax val="0"/>
  </c:chart>
  <c:spPr>
    <a:solidFill>
      <a:schemeClr val="bg1"/>
    </a:solidFill>
    <a:ln w="9525" cap="flat" cmpd="sng" algn="ctr">
      <a:solidFill>
        <a:sysClr val="windowText" lastClr="000000">
          <a:lumMod val="50000"/>
          <a:lumOff val="50000"/>
        </a:sysClr>
      </a:solidFill>
      <a:round/>
    </a:ln>
    <a:effectLst/>
  </c:spPr>
  <c:txPr>
    <a:bodyPr/>
    <a:lstStyle/>
    <a:p>
      <a:pPr>
        <a:defRPr/>
      </a:pPr>
      <a:endParaRPr lang="fr-F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fr-FR" sz="1200" cap="small" spc="0" baseline="0">
                <a:solidFill>
                  <a:sysClr val="windowText" lastClr="000000"/>
                </a:solidFill>
                <a:latin typeface="+mn-lt"/>
                <a:cs typeface="Arial"/>
              </a:rPr>
              <a:t>à</a:t>
            </a:r>
            <a:r>
              <a:rPr lang="fr-FR" sz="1200" cap="small" spc="0" baseline="0">
                <a:solidFill>
                  <a:sysClr val="windowText" lastClr="000000"/>
                </a:solidFill>
              </a:rPr>
              <a:t> la retraite, estimez-vous que vous avez ou que vous aurez </a:t>
            </a:r>
            <a:r>
              <a:rPr lang="fr-FR" sz="1200" b="1" i="0" u="none" strike="noStrike" cap="small" spc="0" normalizeH="0" baseline="0">
                <a:effectLst/>
              </a:rPr>
              <a:t>une pension suffisante </a:t>
            </a:r>
            <a:r>
              <a:rPr lang="fr-FR" sz="1200" cap="small" spc="0" baseline="0">
                <a:solidFill>
                  <a:sysClr val="windowText" lastClr="000000"/>
                </a:solidFill>
              </a:rPr>
              <a:t> pour vivre correctement? en %</a:t>
            </a:r>
          </a:p>
        </c:rich>
      </c:tx>
      <c:layout>
        <c:manualLayout>
          <c:xMode val="edge"/>
          <c:yMode val="edge"/>
          <c:x val="0.11122804429965166"/>
          <c:y val="2.2083179977916818E-2"/>
        </c:manualLayout>
      </c:layout>
      <c:overlay val="0"/>
      <c:spPr>
        <a:noFill/>
        <a:ln>
          <a:noFill/>
        </a:ln>
        <a:effectLst/>
      </c:spPr>
    </c:title>
    <c:autoTitleDeleted val="0"/>
    <c:plotArea>
      <c:layout/>
      <c:barChart>
        <c:barDir val="bar"/>
        <c:grouping val="stacked"/>
        <c:varyColors val="0"/>
        <c:ser>
          <c:idx val="0"/>
          <c:order val="0"/>
          <c:tx>
            <c:strRef>
              <c:f>'niveau des pensions'!$A$53</c:f>
              <c:strCache>
                <c:ptCount val="1"/>
                <c:pt idx="0">
                  <c:v>Total suffisante</c:v>
                </c:pt>
              </c:strCache>
            </c:strRef>
          </c:tx>
          <c:spPr>
            <a:solidFill>
              <a:srgbClr val="1C54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'niveau des pensions'!$B$52:$D$52</c:f>
              <c:strCache>
                <c:ptCount val="3"/>
                <c:pt idx="0">
                  <c:v>Non-retraités </c:v>
                </c:pt>
                <c:pt idx="1">
                  <c:v>Retraités </c:v>
                </c:pt>
                <c:pt idx="2">
                  <c:v>Ensemble des Français </c:v>
                </c:pt>
              </c:strCache>
            </c:strRef>
          </c:cat>
          <c:val>
            <c:numRef>
              <c:f>'niveau des pensions'!$B$53:$D$53</c:f>
              <c:numCache>
                <c:formatCode>General</c:formatCode>
                <c:ptCount val="3"/>
                <c:pt idx="0">
                  <c:v>21</c:v>
                </c:pt>
                <c:pt idx="1">
                  <c:v>50</c:v>
                </c:pt>
                <c:pt idx="2">
                  <c:v>29</c:v>
                </c:pt>
              </c:numCache>
            </c:numRef>
          </c:val>
        </c:ser>
        <c:ser>
          <c:idx val="1"/>
          <c:order val="1"/>
          <c:tx>
            <c:strRef>
              <c:f>'niveau des pensions'!$A$54</c:f>
              <c:strCache>
                <c:ptCount val="1"/>
                <c:pt idx="0">
                  <c:v>Total insuffisante</c:v>
                </c:pt>
              </c:strCache>
            </c:strRef>
          </c:tx>
          <c:spPr>
            <a:solidFill>
              <a:srgbClr val="DC1F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'niveau des pensions'!$B$52:$D$52</c:f>
              <c:strCache>
                <c:ptCount val="3"/>
                <c:pt idx="0">
                  <c:v>Non-retraités </c:v>
                </c:pt>
                <c:pt idx="1">
                  <c:v>Retraités </c:v>
                </c:pt>
                <c:pt idx="2">
                  <c:v>Ensemble des Français </c:v>
                </c:pt>
              </c:strCache>
            </c:strRef>
          </c:cat>
          <c:val>
            <c:numRef>
              <c:f>'niveau des pensions'!$B$54:$D$54</c:f>
              <c:numCache>
                <c:formatCode>General</c:formatCode>
                <c:ptCount val="3"/>
                <c:pt idx="0">
                  <c:v>79</c:v>
                </c:pt>
                <c:pt idx="1">
                  <c:v>50</c:v>
                </c:pt>
                <c:pt idx="2">
                  <c:v>71</c:v>
                </c:pt>
              </c:numCache>
            </c:numRef>
          </c:val>
        </c:ser>
        <c:dLbls>
          <c:dLblPos val="ctr"/>
          <c:showLegendKey val="0"/>
          <c:showVal val="1"/>
          <c:showCatName val="0"/>
          <c:showSerName val="0"/>
          <c:showPercent val="0"/>
          <c:showBubbleSize val="0"/>
        </c:dLbls>
        <c:gapWidth val="79"/>
        <c:overlap val="100"/>
        <c:axId val="257895808"/>
        <c:axId val="261624192"/>
      </c:barChart>
      <c:catAx>
        <c:axId val="25789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small" spc="0" normalizeH="0" baseline="0">
                <a:solidFill>
                  <a:sysClr val="windowText" lastClr="000000"/>
                </a:solidFill>
                <a:latin typeface="+mn-lt"/>
                <a:ea typeface="+mn-ea"/>
                <a:cs typeface="+mn-cs"/>
              </a:defRPr>
            </a:pPr>
            <a:endParaRPr lang="fr-FR"/>
          </a:p>
        </c:txPr>
        <c:crossAx val="261624192"/>
        <c:crosses val="autoZero"/>
        <c:auto val="1"/>
        <c:lblAlgn val="ctr"/>
        <c:lblOffset val="100"/>
        <c:noMultiLvlLbl val="0"/>
      </c:catAx>
      <c:valAx>
        <c:axId val="261624192"/>
        <c:scaling>
          <c:orientation val="minMax"/>
        </c:scaling>
        <c:delete val="1"/>
        <c:axPos val="b"/>
        <c:numFmt formatCode="General" sourceLinked="1"/>
        <c:majorTickMark val="none"/>
        <c:minorTickMark val="none"/>
        <c:tickLblPos val="nextTo"/>
        <c:crossAx val="257895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cap="small" baseline="0">
              <a:solidFill>
                <a:sysClr val="windowText" lastClr="000000"/>
              </a:solidFill>
              <a:latin typeface="+mn-lt"/>
              <a:ea typeface="+mn-ea"/>
              <a:cs typeface="+mn-cs"/>
            </a:defRPr>
          </a:pPr>
          <a:endParaRPr lang="fr-FR"/>
        </a:p>
      </c:txPr>
    </c:legend>
    <c:plotVisOnly val="1"/>
    <c:dispBlanksAs val="gap"/>
    <c:showDLblsOverMax val="0"/>
  </c:chart>
  <c:spPr>
    <a:solidFill>
      <a:schemeClr val="lt1"/>
    </a:solidFill>
    <a:ln w="9525" cap="flat" cmpd="sng" algn="ctr">
      <a:solidFill>
        <a:sysClr val="windowText" lastClr="000000">
          <a:lumMod val="50000"/>
          <a:lumOff val="50000"/>
        </a:sysClr>
      </a:solidFill>
      <a:round/>
    </a:ln>
    <a:effectLst/>
  </c:spPr>
  <c:txPr>
    <a:bodyPr/>
    <a:lstStyle/>
    <a:p>
      <a:pPr>
        <a:defRPr/>
      </a:pPr>
      <a:endParaRPr lang="fr-F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jugez-vous que votre pension est ou sera....</a:t>
            </a:r>
          </a:p>
        </c:rich>
      </c:tx>
      <c:overlay val="0"/>
    </c:title>
    <c:autoTitleDeleted val="0"/>
    <c:plotArea>
      <c:layout/>
      <c:pieChart>
        <c:varyColors val="1"/>
        <c:ser>
          <c:idx val="0"/>
          <c:order val="0"/>
          <c:tx>
            <c:strRef>
              <c:f>'niveau des pensions'!$C$70</c:f>
              <c:strCache>
                <c:ptCount val="1"/>
                <c:pt idx="0">
                  <c:v>ensemble de la population</c:v>
                </c:pt>
              </c:strCache>
            </c:strRef>
          </c:tx>
          <c:dPt>
            <c:idx val="0"/>
            <c:bubble3D val="0"/>
            <c:spPr>
              <a:solidFill>
                <a:srgbClr val="E81C23"/>
              </a:solidFill>
            </c:spPr>
          </c:dPt>
          <c:dPt>
            <c:idx val="1"/>
            <c:bubble3D val="0"/>
            <c:spPr>
              <a:solidFill>
                <a:srgbClr val="A24F9F"/>
              </a:solidFill>
            </c:spPr>
          </c:dPt>
          <c:dPt>
            <c:idx val="2"/>
            <c:bubble3D val="0"/>
            <c:spPr>
              <a:solidFill>
                <a:srgbClr val="00B6BC"/>
              </a:solidFill>
            </c:spPr>
          </c:dPt>
          <c:dPt>
            <c:idx val="3"/>
            <c:bubble3D val="0"/>
            <c:spPr>
              <a:solidFill>
                <a:srgbClr val="1C5484"/>
              </a:solidFill>
            </c:spPr>
          </c:dPt>
          <c:dLbls>
            <c:txPr>
              <a:bodyPr/>
              <a:lstStyle/>
              <a:p>
                <a:pPr>
                  <a:defRPr b="1">
                    <a:solidFill>
                      <a:schemeClr val="bg1"/>
                    </a:solidFill>
                  </a:defRPr>
                </a:pPr>
                <a:endParaRPr lang="fr-FR"/>
              </a:p>
            </c:txPr>
            <c:showLegendKey val="0"/>
            <c:showVal val="0"/>
            <c:showCatName val="0"/>
            <c:showSerName val="0"/>
            <c:showPercent val="1"/>
            <c:showBubbleSize val="0"/>
            <c:showLeaderLines val="1"/>
          </c:dLbls>
          <c:cat>
            <c:strRef>
              <c:f>'niveau des pensions'!$B$72:$B$75</c:f>
              <c:strCache>
                <c:ptCount val="4"/>
                <c:pt idx="0">
                  <c:v>Tout à fait insuffisante </c:v>
                </c:pt>
                <c:pt idx="1">
                  <c:v>Plutôt insuffisante</c:v>
                </c:pt>
                <c:pt idx="2">
                  <c:v>Plutôt suffisante</c:v>
                </c:pt>
                <c:pt idx="3">
                  <c:v>Tout à fait suffisante</c:v>
                </c:pt>
              </c:strCache>
            </c:strRef>
          </c:cat>
          <c:val>
            <c:numRef>
              <c:f>'niveau des pensions'!$C$72:$C$75</c:f>
              <c:numCache>
                <c:formatCode>General</c:formatCode>
                <c:ptCount val="4"/>
                <c:pt idx="0">
                  <c:v>26</c:v>
                </c:pt>
                <c:pt idx="1">
                  <c:v>45</c:v>
                </c:pt>
                <c:pt idx="2">
                  <c:v>26</c:v>
                </c:pt>
                <c:pt idx="3">
                  <c:v>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cap="small" baseline="0"/>
      </a:pPr>
      <a:endParaRPr lang="fr-F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fr-FR" sz="1200"/>
              <a:t>quelles solutions seriez-vous prêts à accepter pour assurer la pérennité du système de retraite ? en %</a:t>
            </a:r>
          </a:p>
        </c:rich>
      </c:tx>
      <c:overlay val="0"/>
      <c:spPr>
        <a:noFill/>
        <a:ln>
          <a:noFill/>
        </a:ln>
        <a:effectLst/>
      </c:spPr>
    </c:title>
    <c:autoTitleDeleted val="0"/>
    <c:plotArea>
      <c:layout/>
      <c:barChart>
        <c:barDir val="bar"/>
        <c:grouping val="stacked"/>
        <c:varyColors val="0"/>
        <c:ser>
          <c:idx val="0"/>
          <c:order val="0"/>
          <c:tx>
            <c:strRef>
              <c:f>'réformes des retraites'!$B$52</c:f>
              <c:strCache>
                <c:ptCount val="1"/>
                <c:pt idx="0">
                  <c:v>oui</c:v>
                </c:pt>
              </c:strCache>
            </c:strRef>
          </c:tx>
          <c:spPr>
            <a:solidFill>
              <a:srgbClr val="1C5484"/>
            </a:solidFill>
            <a:ln>
              <a:noFill/>
            </a:ln>
            <a:effectLst/>
          </c:spPr>
          <c:invertIfNegative val="0"/>
          <c:dLbls>
            <c:spPr>
              <a:noFill/>
              <a:ln>
                <a:noFill/>
              </a:ln>
              <a:effectLst/>
            </c:spPr>
            <c:txPr>
              <a:bodyPr rot="0" vert="horz"/>
              <a:lstStyle/>
              <a:p>
                <a:pPr>
                  <a:defRPr b="1">
                    <a:solidFill>
                      <a:schemeClr val="bg1"/>
                    </a:solidFill>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'réformes des retraites'!$A$53:$A$56</c:f>
              <c:strCache>
                <c:ptCount val="4"/>
                <c:pt idx="0">
                  <c:v>Allongement de la durée de cotisation</c:v>
                </c:pt>
                <c:pt idx="1">
                  <c:v>Le report à 65 ans de l'âge légal</c:v>
                </c:pt>
                <c:pt idx="2">
                  <c:v>L'augmentation des cotisations sociales</c:v>
                </c:pt>
                <c:pt idx="3">
                  <c:v>La diminution des pensions</c:v>
                </c:pt>
              </c:strCache>
            </c:strRef>
          </c:cat>
          <c:val>
            <c:numRef>
              <c:f>'réformes des retraites'!$B$53:$B$56</c:f>
              <c:numCache>
                <c:formatCode>General</c:formatCode>
                <c:ptCount val="4"/>
                <c:pt idx="0">
                  <c:v>43</c:v>
                </c:pt>
                <c:pt idx="1">
                  <c:v>40</c:v>
                </c:pt>
                <c:pt idx="2">
                  <c:v>35</c:v>
                </c:pt>
                <c:pt idx="3">
                  <c:v>6</c:v>
                </c:pt>
              </c:numCache>
            </c:numRef>
          </c:val>
        </c:ser>
        <c:ser>
          <c:idx val="1"/>
          <c:order val="1"/>
          <c:tx>
            <c:strRef>
              <c:f>'réformes des retraites'!$C$52</c:f>
              <c:strCache>
                <c:ptCount val="1"/>
                <c:pt idx="0">
                  <c:v>non</c:v>
                </c:pt>
              </c:strCache>
            </c:strRef>
          </c:tx>
          <c:spPr>
            <a:solidFill>
              <a:srgbClr val="DC1F27"/>
            </a:solidFill>
            <a:ln>
              <a:noFill/>
            </a:ln>
            <a:effectLst/>
          </c:spPr>
          <c:invertIfNegative val="0"/>
          <c:dLbls>
            <c:spPr>
              <a:noFill/>
              <a:ln>
                <a:noFill/>
              </a:ln>
              <a:effectLst/>
            </c:spPr>
            <c:txPr>
              <a:bodyPr rot="0" vert="horz"/>
              <a:lstStyle/>
              <a:p>
                <a:pPr>
                  <a:defRPr b="1">
                    <a:solidFill>
                      <a:schemeClr val="bg1"/>
                    </a:solidFill>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'réformes des retraites'!$A$53:$A$56</c:f>
              <c:strCache>
                <c:ptCount val="4"/>
                <c:pt idx="0">
                  <c:v>Allongement de la durée de cotisation</c:v>
                </c:pt>
                <c:pt idx="1">
                  <c:v>Le report à 65 ans de l'âge légal</c:v>
                </c:pt>
                <c:pt idx="2">
                  <c:v>L'augmentation des cotisations sociales</c:v>
                </c:pt>
                <c:pt idx="3">
                  <c:v>La diminution des pensions</c:v>
                </c:pt>
              </c:strCache>
            </c:strRef>
          </c:cat>
          <c:val>
            <c:numRef>
              <c:f>'réformes des retraites'!$C$53:$C$56</c:f>
              <c:numCache>
                <c:formatCode>General</c:formatCode>
                <c:ptCount val="4"/>
                <c:pt idx="0">
                  <c:v>57</c:v>
                </c:pt>
                <c:pt idx="1">
                  <c:v>60</c:v>
                </c:pt>
                <c:pt idx="2">
                  <c:v>65</c:v>
                </c:pt>
                <c:pt idx="3">
                  <c:v>94</c:v>
                </c:pt>
              </c:numCache>
            </c:numRef>
          </c:val>
        </c:ser>
        <c:dLbls>
          <c:dLblPos val="ctr"/>
          <c:showLegendKey val="0"/>
          <c:showVal val="1"/>
          <c:showCatName val="0"/>
          <c:showSerName val="0"/>
          <c:showPercent val="0"/>
          <c:showBubbleSize val="0"/>
        </c:dLbls>
        <c:gapWidth val="79"/>
        <c:overlap val="100"/>
        <c:axId val="383324544"/>
        <c:axId val="385081344"/>
      </c:barChart>
      <c:catAx>
        <c:axId val="38332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0"/>
            </a:pPr>
            <a:endParaRPr lang="fr-FR"/>
          </a:p>
        </c:txPr>
        <c:crossAx val="385081344"/>
        <c:crosses val="autoZero"/>
        <c:auto val="1"/>
        <c:lblAlgn val="ctr"/>
        <c:lblOffset val="100"/>
        <c:noMultiLvlLbl val="0"/>
      </c:catAx>
      <c:valAx>
        <c:axId val="385081344"/>
        <c:scaling>
          <c:orientation val="minMax"/>
        </c:scaling>
        <c:delete val="1"/>
        <c:axPos val="b"/>
        <c:numFmt formatCode="General" sourceLinked="1"/>
        <c:majorTickMark val="none"/>
        <c:minorTickMark val="none"/>
        <c:tickLblPos val="nextTo"/>
        <c:crossAx val="383324544"/>
        <c:crosses val="autoZero"/>
        <c:crossBetween val="between"/>
      </c:valAx>
      <c:spPr>
        <a:noFill/>
        <a:ln>
          <a:noFill/>
        </a:ln>
        <a:effectLst/>
      </c:spPr>
    </c:plotArea>
    <c:legend>
      <c:legendPos val="t"/>
      <c:overlay val="0"/>
      <c:spPr>
        <a:noFill/>
        <a:ln>
          <a:noFill/>
        </a:ln>
        <a:effectLst/>
      </c:spPr>
      <c:txPr>
        <a:bodyPr rot="0" vert="horz"/>
        <a:lstStyle/>
        <a:p>
          <a:pPr>
            <a:defRPr/>
          </a:pPr>
          <a:endParaRPr lang="fr-FR"/>
        </a:p>
      </c:txPr>
    </c:legend>
    <c:plotVisOnly val="1"/>
    <c:dispBlanksAs val="gap"/>
    <c:showDLblsOverMax val="0"/>
  </c:chart>
  <c:spPr>
    <a:solidFill>
      <a:schemeClr val="lt1"/>
    </a:solidFill>
    <a:ln w="9525" cap="flat" cmpd="sng" algn="ctr">
      <a:solidFill>
        <a:sysClr val="windowText" lastClr="000000">
          <a:lumMod val="50000"/>
          <a:lumOff val="50000"/>
        </a:sysClr>
      </a:solidFill>
      <a:round/>
    </a:ln>
    <a:effectLst/>
  </c:spPr>
  <c:txPr>
    <a:bodyPr/>
    <a:lstStyle/>
    <a:p>
      <a:pPr>
        <a:defRPr cap="small" baseline="0"/>
      </a:pPr>
      <a:endParaRPr lang="fr-F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cap="small" baseline="0"/>
            </a:pPr>
            <a:r>
              <a:rPr lang="fr-FR" sz="1200" cap="small" baseline="0"/>
              <a:t>quelles solutions pour les retraites ? (en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'solutions 2 '!$B$26</c:f>
              <c:strCache>
                <c:ptCount val="1"/>
                <c:pt idx="0">
                  <c:v>2016</c:v>
                </c:pt>
              </c:strCache>
            </c:strRef>
          </c:tx>
          <c:spPr>
            <a:solidFill>
              <a:srgbClr val="1C5484"/>
            </a:solidFill>
          </c:spPr>
          <c:invertIfNegative val="0"/>
          <c:dLbls>
            <c:dLbl>
              <c:idx val="0"/>
              <c:layout>
                <c:manualLayout>
                  <c:x val="0"/>
                  <c:y val="-2.1189457104975128E-2"/>
                </c:manualLayout>
              </c:layout>
              <c:showLegendKey val="0"/>
              <c:showVal val="1"/>
              <c:showCatName val="0"/>
              <c:showSerName val="0"/>
              <c:showPercent val="0"/>
              <c:showBubbleSize val="0"/>
            </c:dLbl>
            <c:dLbl>
              <c:idx val="1"/>
              <c:layout>
                <c:manualLayout>
                  <c:x val="2.2066459658949835E-3"/>
                  <c:y val="-2.4721033289137651E-2"/>
                </c:manualLayout>
              </c:layout>
              <c:showLegendKey val="0"/>
              <c:showVal val="1"/>
              <c:showCatName val="0"/>
              <c:showSerName val="0"/>
              <c:showPercent val="0"/>
              <c:showBubbleSize val="0"/>
            </c:dLbl>
            <c:dLbl>
              <c:idx val="2"/>
              <c:layout>
                <c:manualLayout>
                  <c:x val="1.32398757953699E-2"/>
                  <c:y val="-2.4721033289137651E-2"/>
                </c:manualLayout>
              </c:layout>
              <c:showLegendKey val="0"/>
              <c:showVal val="1"/>
              <c:showCatName val="0"/>
              <c:showSerName val="0"/>
              <c:showPercent val="0"/>
              <c:showBubbleSize val="0"/>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'solutions 2 '!$A$27:$A$29</c:f>
              <c:strCache>
                <c:ptCount val="3"/>
                <c:pt idx="0">
                  <c:v>Unification des régimes de retraites</c:v>
                </c:pt>
                <c:pt idx="1">
                  <c:v>Développement de l'épargne retraite</c:v>
                </c:pt>
                <c:pt idx="2">
                  <c:v>Report de l'âge légal de départ à la retraite à 65 ans</c:v>
                </c:pt>
              </c:strCache>
            </c:strRef>
          </c:cat>
          <c:val>
            <c:numRef>
              <c:f>'solutions 2 '!$B$27:$B$29</c:f>
              <c:numCache>
                <c:formatCode>General</c:formatCode>
                <c:ptCount val="3"/>
                <c:pt idx="0">
                  <c:v>72</c:v>
                </c:pt>
                <c:pt idx="1">
                  <c:v>66</c:v>
                </c:pt>
                <c:pt idx="2">
                  <c:v>40</c:v>
                </c:pt>
              </c:numCache>
            </c:numRef>
          </c:val>
        </c:ser>
        <c:ser>
          <c:idx val="1"/>
          <c:order val="1"/>
          <c:tx>
            <c:strRef>
              <c:f>'solutions 2 '!$C$26</c:f>
              <c:strCache>
                <c:ptCount val="1"/>
                <c:pt idx="0">
                  <c:v>2017</c:v>
                </c:pt>
              </c:strCache>
            </c:strRef>
          </c:tx>
          <c:spPr>
            <a:solidFill>
              <a:srgbClr val="DC1F27"/>
            </a:solidFill>
          </c:spPr>
          <c:invertIfNegative val="0"/>
          <c:dLbls>
            <c:dLbl>
              <c:idx val="0"/>
              <c:layout>
                <c:manualLayout>
                  <c:x val="1.1033229829474918E-2"/>
                  <c:y val="-2.1189457104975128E-2"/>
                </c:manualLayout>
              </c:layout>
              <c:showLegendKey val="0"/>
              <c:showVal val="1"/>
              <c:showCatName val="0"/>
              <c:showSerName val="0"/>
              <c:showPercent val="0"/>
              <c:showBubbleSize val="0"/>
            </c:dLbl>
            <c:dLbl>
              <c:idx val="1"/>
              <c:layout>
                <c:manualLayout>
                  <c:x val="6.61993789768495E-3"/>
                  <c:y val="-3.1784185657462695E-2"/>
                </c:manualLayout>
              </c:layout>
              <c:showLegendKey val="0"/>
              <c:showVal val="1"/>
              <c:showCatName val="0"/>
              <c:showSerName val="0"/>
              <c:showPercent val="0"/>
              <c:showBubbleSize val="0"/>
            </c:dLbl>
            <c:dLbl>
              <c:idx val="2"/>
              <c:layout>
                <c:manualLayout>
                  <c:x val="1.5446521761264884E-2"/>
                  <c:y val="-2.4721033289137651E-2"/>
                </c:manualLayout>
              </c:layout>
              <c:showLegendKey val="0"/>
              <c:showVal val="1"/>
              <c:showCatName val="0"/>
              <c:showSerName val="0"/>
              <c:showPercent val="0"/>
              <c:showBubbleSize val="0"/>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'solutions 2 '!$A$27:$A$29</c:f>
              <c:strCache>
                <c:ptCount val="3"/>
                <c:pt idx="0">
                  <c:v>Unification des régimes de retraites</c:v>
                </c:pt>
                <c:pt idx="1">
                  <c:v>Développement de l'épargne retraite</c:v>
                </c:pt>
                <c:pt idx="2">
                  <c:v>Report de l'âge légal de départ à la retraite à 65 ans</c:v>
                </c:pt>
              </c:strCache>
            </c:strRef>
          </c:cat>
          <c:val>
            <c:numRef>
              <c:f>'solutions 2 '!$C$27:$C$29</c:f>
              <c:numCache>
                <c:formatCode>General</c:formatCode>
                <c:ptCount val="3"/>
                <c:pt idx="0">
                  <c:v>70</c:v>
                </c:pt>
                <c:pt idx="1">
                  <c:v>60</c:v>
                </c:pt>
                <c:pt idx="2">
                  <c:v>35</c:v>
                </c:pt>
              </c:numCache>
            </c:numRef>
          </c:val>
        </c:ser>
        <c:dLbls>
          <c:showLegendKey val="0"/>
          <c:showVal val="1"/>
          <c:showCatName val="0"/>
          <c:showSerName val="0"/>
          <c:showPercent val="0"/>
          <c:showBubbleSize val="0"/>
        </c:dLbls>
        <c:gapWidth val="150"/>
        <c:shape val="box"/>
        <c:axId val="188913536"/>
        <c:axId val="188914688"/>
        <c:axId val="0"/>
      </c:bar3DChart>
      <c:catAx>
        <c:axId val="188913536"/>
        <c:scaling>
          <c:orientation val="minMax"/>
        </c:scaling>
        <c:delete val="0"/>
        <c:axPos val="b"/>
        <c:numFmt formatCode="General" sourceLinked="0"/>
        <c:majorTickMark val="none"/>
        <c:minorTickMark val="none"/>
        <c:tickLblPos val="nextTo"/>
        <c:txPr>
          <a:bodyPr/>
          <a:lstStyle/>
          <a:p>
            <a:pPr>
              <a:defRPr b="0" cap="small" baseline="0"/>
            </a:pPr>
            <a:endParaRPr lang="fr-FR"/>
          </a:p>
        </c:txPr>
        <c:crossAx val="188914688"/>
        <c:crosses val="autoZero"/>
        <c:auto val="1"/>
        <c:lblAlgn val="ctr"/>
        <c:lblOffset val="100"/>
        <c:noMultiLvlLbl val="0"/>
      </c:catAx>
      <c:valAx>
        <c:axId val="188914688"/>
        <c:scaling>
          <c:orientation val="minMax"/>
        </c:scaling>
        <c:delete val="1"/>
        <c:axPos val="l"/>
        <c:numFmt formatCode="General" sourceLinked="1"/>
        <c:majorTickMark val="out"/>
        <c:minorTickMark val="none"/>
        <c:tickLblPos val="nextTo"/>
        <c:crossAx val="188913536"/>
        <c:crosses val="autoZero"/>
        <c:crossBetween val="between"/>
      </c:valAx>
    </c:plotArea>
    <c:legend>
      <c:legendPos val="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FR" sz="1200"/>
              <a:t>êtes-vous prêt à travailler jusqu'à 65 ans ? (en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1"/>
          <c:order val="0"/>
          <c:tx>
            <c:strRef>
              <c:f>'prêts jusqu''à 65'!$C$12</c:f>
              <c:strCache>
                <c:ptCount val="1"/>
                <c:pt idx="0">
                  <c:v>Non</c:v>
                </c:pt>
              </c:strCache>
            </c:strRef>
          </c:tx>
          <c:spPr>
            <a:solidFill>
              <a:srgbClr val="DC1F27"/>
            </a:solidFill>
          </c:spPr>
          <c:invertIfNegative val="0"/>
          <c:dLbls>
            <c:dLbl>
              <c:idx val="0"/>
              <c:layout>
                <c:manualLayout>
                  <c:x val="1.32398757953699E-2"/>
                  <c:y val="-1.0594731498637284E-2"/>
                </c:manualLayout>
              </c:layout>
              <c:showLegendKey val="0"/>
              <c:showVal val="1"/>
              <c:showCatName val="0"/>
              <c:showSerName val="0"/>
              <c:showPercent val="0"/>
              <c:showBubbleSize val="0"/>
            </c:dLbl>
            <c:dLbl>
              <c:idx val="1"/>
              <c:layout>
                <c:manualLayout>
                  <c:x val="1.32398757953699E-2"/>
                  <c:y val="-1.0594731498637284E-2"/>
                </c:manualLayout>
              </c:layout>
              <c:showLegendKey val="0"/>
              <c:showVal val="1"/>
              <c:showCatName val="0"/>
              <c:showSerName val="0"/>
              <c:showPercent val="0"/>
              <c:showBubbleSize val="0"/>
            </c:dLbl>
            <c:dLbl>
              <c:idx val="2"/>
              <c:layout>
                <c:manualLayout>
                  <c:x val="1.1033229829474918E-2"/>
                  <c:y val="-1.0594731498637284E-2"/>
                </c:manualLayout>
              </c:layout>
              <c:showLegendKey val="0"/>
              <c:showVal val="1"/>
              <c:showCatName val="0"/>
              <c:showSerName val="0"/>
              <c:showPercent val="0"/>
              <c:showBubbleSize val="0"/>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'prêts jusqu''à 65'!$A$13:$A$15</c:f>
              <c:strCache>
                <c:ptCount val="3"/>
                <c:pt idx="0">
                  <c:v>Homme</c:v>
                </c:pt>
                <c:pt idx="1">
                  <c:v>Femme</c:v>
                </c:pt>
                <c:pt idx="2">
                  <c:v>Ensemble des Français</c:v>
                </c:pt>
              </c:strCache>
            </c:strRef>
          </c:cat>
          <c:val>
            <c:numRef>
              <c:f>'prêts jusqu''à 65'!$C$13:$C$15</c:f>
              <c:numCache>
                <c:formatCode>General</c:formatCode>
                <c:ptCount val="3"/>
                <c:pt idx="0">
                  <c:v>61</c:v>
                </c:pt>
                <c:pt idx="1">
                  <c:v>57</c:v>
                </c:pt>
                <c:pt idx="2">
                  <c:v>59</c:v>
                </c:pt>
              </c:numCache>
            </c:numRef>
          </c:val>
        </c:ser>
        <c:ser>
          <c:idx val="0"/>
          <c:order val="1"/>
          <c:tx>
            <c:strRef>
              <c:f>'prêts jusqu''à 65'!$B$12</c:f>
              <c:strCache>
                <c:ptCount val="1"/>
                <c:pt idx="0">
                  <c:v>Oui</c:v>
                </c:pt>
              </c:strCache>
            </c:strRef>
          </c:tx>
          <c:spPr>
            <a:solidFill>
              <a:srgbClr val="1C5484"/>
            </a:solidFill>
          </c:spPr>
          <c:invertIfNegative val="0"/>
          <c:dLbls>
            <c:dLbl>
              <c:idx val="0"/>
              <c:layout>
                <c:manualLayout>
                  <c:x val="8.826583863579934E-3"/>
                  <c:y val="-1.0594731498637284E-2"/>
                </c:manualLayout>
              </c:layout>
              <c:showLegendKey val="0"/>
              <c:showVal val="1"/>
              <c:showCatName val="0"/>
              <c:showSerName val="0"/>
              <c:showPercent val="0"/>
              <c:showBubbleSize val="0"/>
            </c:dLbl>
            <c:dLbl>
              <c:idx val="1"/>
              <c:layout>
                <c:manualLayout>
                  <c:x val="1.32398757953699E-2"/>
                  <c:y val="-1.059473149863722E-2"/>
                </c:manualLayout>
              </c:layout>
              <c:showLegendKey val="0"/>
              <c:showVal val="1"/>
              <c:showCatName val="0"/>
              <c:showSerName val="0"/>
              <c:showPercent val="0"/>
              <c:showBubbleSize val="0"/>
            </c:dLbl>
            <c:dLbl>
              <c:idx val="2"/>
              <c:layout>
                <c:manualLayout>
                  <c:x val="1.32398757953699E-2"/>
                  <c:y val="-1.7657885831062141E-2"/>
                </c:manualLayout>
              </c:layout>
              <c:showLegendKey val="0"/>
              <c:showVal val="1"/>
              <c:showCatName val="0"/>
              <c:showSerName val="0"/>
              <c:showPercent val="0"/>
              <c:showBubbleSize val="0"/>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'prêts jusqu''à 65'!$A$13:$A$15</c:f>
              <c:strCache>
                <c:ptCount val="3"/>
                <c:pt idx="0">
                  <c:v>Homme</c:v>
                </c:pt>
                <c:pt idx="1">
                  <c:v>Femme</c:v>
                </c:pt>
                <c:pt idx="2">
                  <c:v>Ensemble des Français</c:v>
                </c:pt>
              </c:strCache>
            </c:strRef>
          </c:cat>
          <c:val>
            <c:numRef>
              <c:f>'prêts jusqu''à 65'!$B$13:$B$15</c:f>
              <c:numCache>
                <c:formatCode>General</c:formatCode>
                <c:ptCount val="3"/>
                <c:pt idx="0">
                  <c:v>39</c:v>
                </c:pt>
                <c:pt idx="1">
                  <c:v>43</c:v>
                </c:pt>
                <c:pt idx="2">
                  <c:v>41</c:v>
                </c:pt>
              </c:numCache>
            </c:numRef>
          </c:val>
        </c:ser>
        <c:dLbls>
          <c:showLegendKey val="0"/>
          <c:showVal val="1"/>
          <c:showCatName val="0"/>
          <c:showSerName val="0"/>
          <c:showPercent val="0"/>
          <c:showBubbleSize val="0"/>
        </c:dLbls>
        <c:gapWidth val="150"/>
        <c:shape val="box"/>
        <c:axId val="202221440"/>
        <c:axId val="202222976"/>
        <c:axId val="0"/>
      </c:bar3DChart>
      <c:catAx>
        <c:axId val="202221440"/>
        <c:scaling>
          <c:orientation val="minMax"/>
        </c:scaling>
        <c:delete val="0"/>
        <c:axPos val="l"/>
        <c:numFmt formatCode="General" sourceLinked="0"/>
        <c:majorTickMark val="none"/>
        <c:minorTickMark val="none"/>
        <c:tickLblPos val="nextTo"/>
        <c:txPr>
          <a:bodyPr/>
          <a:lstStyle/>
          <a:p>
            <a:pPr>
              <a:defRPr b="0"/>
            </a:pPr>
            <a:endParaRPr lang="fr-FR"/>
          </a:p>
        </c:txPr>
        <c:crossAx val="202222976"/>
        <c:crosses val="autoZero"/>
        <c:auto val="1"/>
        <c:lblAlgn val="ctr"/>
        <c:lblOffset val="100"/>
        <c:noMultiLvlLbl val="0"/>
      </c:catAx>
      <c:valAx>
        <c:axId val="202222976"/>
        <c:scaling>
          <c:orientation val="minMax"/>
        </c:scaling>
        <c:delete val="1"/>
        <c:axPos val="b"/>
        <c:numFmt formatCode="General" sourceLinked="1"/>
        <c:majorTickMark val="none"/>
        <c:minorTickMark val="none"/>
        <c:tickLblPos val="nextTo"/>
        <c:crossAx val="202221440"/>
        <c:crosses val="autoZero"/>
        <c:crossBetween val="between"/>
      </c:valAx>
    </c:plotArea>
    <c:legend>
      <c:legendPos val="t"/>
      <c:overlay val="0"/>
    </c:legend>
    <c:plotVisOnly val="1"/>
    <c:dispBlanksAs val="gap"/>
    <c:showDLblsOverMax val="0"/>
  </c:chart>
  <c:txPr>
    <a:bodyPr/>
    <a:lstStyle/>
    <a:p>
      <a:pPr>
        <a:defRPr cap="small" baseline="0"/>
      </a:pPr>
      <a:endParaRPr lang="fr-F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FR" sz="1200"/>
              <a:t>seriez-vous à travailler plus longtemps mais à temps partiel pour améliorer votre retraite ? (en %)</a:t>
            </a:r>
          </a:p>
        </c:rich>
      </c:tx>
      <c:layout>
        <c:manualLayout>
          <c:xMode val="edge"/>
          <c:yMode val="edge"/>
          <c:x val="0.14918066491688539"/>
          <c:y val="4.731660341018524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2"/>
          <c:order val="0"/>
          <c:tx>
            <c:strRef>
              <c:f>'retraite progressive'!$A$9</c:f>
              <c:strCache>
                <c:ptCount val="1"/>
                <c:pt idx="0">
                  <c:v>Ensemble des Français</c:v>
                </c:pt>
              </c:strCache>
            </c:strRef>
          </c:tx>
          <c:spPr>
            <a:solidFill>
              <a:srgbClr val="DC1F27"/>
            </a:solidFill>
          </c:spPr>
          <c:invertIfNegative val="0"/>
          <c:dLbls>
            <c:dLbl>
              <c:idx val="0"/>
              <c:layout>
                <c:manualLayout>
                  <c:x val="6.61993789768495E-3"/>
                  <c:y val="-1.4126304736650086E-2"/>
                </c:manualLayout>
              </c:layout>
              <c:showLegendKey val="0"/>
              <c:showVal val="1"/>
              <c:showCatName val="0"/>
              <c:showSerName val="0"/>
              <c:showPercent val="0"/>
              <c:showBubbleSize val="0"/>
            </c:dLbl>
            <c:dLbl>
              <c:idx val="1"/>
              <c:layout>
                <c:manualLayout>
                  <c:x val="1.1033229829474836E-2"/>
                  <c:y val="-1.7657880920812608E-2"/>
                </c:manualLayout>
              </c:layout>
              <c:showLegendKey val="0"/>
              <c:showVal val="1"/>
              <c:showCatName val="0"/>
              <c:showSerName val="0"/>
              <c:showPercent val="0"/>
              <c:showBubbleSize val="0"/>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'retraite progressive'!$B$6:$C$6</c:f>
              <c:strCache>
                <c:ptCount val="2"/>
                <c:pt idx="0">
                  <c:v>Oui</c:v>
                </c:pt>
                <c:pt idx="1">
                  <c:v>Non</c:v>
                </c:pt>
              </c:strCache>
            </c:strRef>
          </c:cat>
          <c:val>
            <c:numRef>
              <c:f>'retraite progressive'!$B$9:$C$9</c:f>
              <c:numCache>
                <c:formatCode>General</c:formatCode>
                <c:ptCount val="2"/>
                <c:pt idx="0">
                  <c:v>62</c:v>
                </c:pt>
                <c:pt idx="1">
                  <c:v>38</c:v>
                </c:pt>
              </c:numCache>
            </c:numRef>
          </c:val>
        </c:ser>
        <c:ser>
          <c:idx val="0"/>
          <c:order val="1"/>
          <c:tx>
            <c:strRef>
              <c:f>'retraite progressive'!$A$7</c:f>
              <c:strCache>
                <c:ptCount val="1"/>
                <c:pt idx="0">
                  <c:v>Homme</c:v>
                </c:pt>
              </c:strCache>
            </c:strRef>
          </c:tx>
          <c:spPr>
            <a:solidFill>
              <a:srgbClr val="1C5484"/>
            </a:solidFill>
          </c:spPr>
          <c:invertIfNegative val="0"/>
          <c:dLbls>
            <c:dLbl>
              <c:idx val="0"/>
              <c:layout>
                <c:manualLayout>
                  <c:x val="8.3333333333333332E-3"/>
                  <c:y val="-1.91846522781774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479751590739883E-2"/>
                  <c:y val="-2.4721033289137651E-2"/>
                </c:manualLayout>
              </c:layout>
              <c:showLegendKey val="0"/>
              <c:showVal val="1"/>
              <c:showCatName val="0"/>
              <c:showSerName val="0"/>
              <c:showPercent val="0"/>
              <c:showBubbleSize val="0"/>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'retraite progressive'!$B$6:$C$6</c:f>
              <c:strCache>
                <c:ptCount val="2"/>
                <c:pt idx="0">
                  <c:v>Oui</c:v>
                </c:pt>
                <c:pt idx="1">
                  <c:v>Non</c:v>
                </c:pt>
              </c:strCache>
            </c:strRef>
          </c:cat>
          <c:val>
            <c:numRef>
              <c:f>'retraite progressive'!$B$7:$C$7</c:f>
              <c:numCache>
                <c:formatCode>General</c:formatCode>
                <c:ptCount val="2"/>
                <c:pt idx="0">
                  <c:v>54</c:v>
                </c:pt>
                <c:pt idx="1">
                  <c:v>46</c:v>
                </c:pt>
              </c:numCache>
            </c:numRef>
          </c:val>
        </c:ser>
        <c:ser>
          <c:idx val="1"/>
          <c:order val="2"/>
          <c:tx>
            <c:strRef>
              <c:f>'retraite progressive'!$A$8</c:f>
              <c:strCache>
                <c:ptCount val="1"/>
                <c:pt idx="0">
                  <c:v>Femme</c:v>
                </c:pt>
              </c:strCache>
            </c:strRef>
          </c:tx>
          <c:spPr>
            <a:solidFill>
              <a:srgbClr val="00B6BC"/>
            </a:solidFill>
          </c:spPr>
          <c:invertIfNegative val="0"/>
          <c:dLbls>
            <c:dLbl>
              <c:idx val="0"/>
              <c:layout>
                <c:manualLayout>
                  <c:x val="4.1666666666666616E-2"/>
                  <c:y val="-2.87769784172661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788E-2"/>
                  <c:y val="-1.918465227817745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'retraite progressive'!$B$6:$C$6</c:f>
              <c:strCache>
                <c:ptCount val="2"/>
                <c:pt idx="0">
                  <c:v>Oui</c:v>
                </c:pt>
                <c:pt idx="1">
                  <c:v>Non</c:v>
                </c:pt>
              </c:strCache>
            </c:strRef>
          </c:cat>
          <c:val>
            <c:numRef>
              <c:f>'retraite progressive'!$B$8:$C$8</c:f>
              <c:numCache>
                <c:formatCode>General</c:formatCode>
                <c:ptCount val="2"/>
                <c:pt idx="0">
                  <c:v>67</c:v>
                </c:pt>
                <c:pt idx="1">
                  <c:v>33</c:v>
                </c:pt>
              </c:numCache>
            </c:numRef>
          </c:val>
        </c:ser>
        <c:dLbls>
          <c:showLegendKey val="0"/>
          <c:showVal val="1"/>
          <c:showCatName val="0"/>
          <c:showSerName val="0"/>
          <c:showPercent val="0"/>
          <c:showBubbleSize val="0"/>
        </c:dLbls>
        <c:gapWidth val="150"/>
        <c:shape val="box"/>
        <c:axId val="221564288"/>
        <c:axId val="221574272"/>
        <c:axId val="0"/>
      </c:bar3DChart>
      <c:catAx>
        <c:axId val="221564288"/>
        <c:scaling>
          <c:orientation val="minMax"/>
        </c:scaling>
        <c:delete val="0"/>
        <c:axPos val="b"/>
        <c:numFmt formatCode="General" sourceLinked="0"/>
        <c:majorTickMark val="none"/>
        <c:minorTickMark val="none"/>
        <c:tickLblPos val="nextTo"/>
        <c:txPr>
          <a:bodyPr/>
          <a:lstStyle/>
          <a:p>
            <a:pPr>
              <a:defRPr b="0"/>
            </a:pPr>
            <a:endParaRPr lang="fr-FR"/>
          </a:p>
        </c:txPr>
        <c:crossAx val="221574272"/>
        <c:crosses val="autoZero"/>
        <c:auto val="1"/>
        <c:lblAlgn val="ctr"/>
        <c:lblOffset val="100"/>
        <c:noMultiLvlLbl val="0"/>
      </c:catAx>
      <c:valAx>
        <c:axId val="221574272"/>
        <c:scaling>
          <c:orientation val="minMax"/>
        </c:scaling>
        <c:delete val="1"/>
        <c:axPos val="l"/>
        <c:numFmt formatCode="General" sourceLinked="1"/>
        <c:majorTickMark val="out"/>
        <c:minorTickMark val="none"/>
        <c:tickLblPos val="nextTo"/>
        <c:crossAx val="221564288"/>
        <c:crosses val="autoZero"/>
        <c:crossBetween val="between"/>
      </c:valAx>
    </c:plotArea>
    <c:legend>
      <c:legendPos val="t"/>
      <c:overlay val="0"/>
    </c:legend>
    <c:plotVisOnly val="1"/>
    <c:dispBlanksAs val="gap"/>
    <c:showDLblsOverMax val="0"/>
  </c:chart>
  <c:txPr>
    <a:bodyPr/>
    <a:lstStyle/>
    <a:p>
      <a:pPr>
        <a:defRPr cap="small" baseline="0"/>
      </a:pPr>
      <a:endParaRPr lang="fr-F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FR" sz="1200"/>
              <a:t>seriez-vous prêt à cumuler votre retraite avec une activité professionnelle pour avoir une meilleure retraite ? (en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'retraite progressive'!$B$15</c:f>
              <c:strCache>
                <c:ptCount val="1"/>
                <c:pt idx="0">
                  <c:v>Oui</c:v>
                </c:pt>
              </c:strCache>
            </c:strRef>
          </c:tx>
          <c:spPr>
            <a:solidFill>
              <a:srgbClr val="1C5484"/>
            </a:solidFill>
          </c:spPr>
          <c:invertIfNegative val="0"/>
          <c:dLbls>
            <c:dLbl>
              <c:idx val="0"/>
              <c:layout>
                <c:manualLayout>
                  <c:x val="0"/>
                  <c:y val="-1.7657880920812608E-2"/>
                </c:manualLayout>
              </c:layout>
              <c:showLegendKey val="0"/>
              <c:showVal val="1"/>
              <c:showCatName val="0"/>
              <c:showSerName val="0"/>
              <c:showPercent val="0"/>
              <c:showBubbleSize val="0"/>
            </c:dLbl>
            <c:dLbl>
              <c:idx val="1"/>
              <c:layout>
                <c:manualLayout>
                  <c:x val="2.2066459658949835E-3"/>
                  <c:y val="-1.7657880920812608E-2"/>
                </c:manualLayout>
              </c:layout>
              <c:showLegendKey val="0"/>
              <c:showVal val="1"/>
              <c:showCatName val="0"/>
              <c:showSerName val="0"/>
              <c:showPercent val="0"/>
              <c:showBubbleSize val="0"/>
            </c:dLbl>
            <c:dLbl>
              <c:idx val="2"/>
              <c:layout>
                <c:manualLayout>
                  <c:x val="2.4273105624844818E-2"/>
                  <c:y val="-1.0594728552487564E-2"/>
                </c:manualLayout>
              </c:layout>
              <c:showLegendKey val="0"/>
              <c:showVal val="1"/>
              <c:showCatName val="0"/>
              <c:showSerName val="0"/>
              <c:showPercent val="0"/>
              <c:showBubbleSize val="0"/>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'retraite progressive'!$A$16:$A$18</c:f>
              <c:strCache>
                <c:ptCount val="3"/>
                <c:pt idx="0">
                  <c:v>Ensemble des Français</c:v>
                </c:pt>
                <c:pt idx="1">
                  <c:v>Homme</c:v>
                </c:pt>
                <c:pt idx="2">
                  <c:v>Femme</c:v>
                </c:pt>
              </c:strCache>
            </c:strRef>
          </c:cat>
          <c:val>
            <c:numRef>
              <c:f>'retraite progressive'!$B$16:$B$18</c:f>
              <c:numCache>
                <c:formatCode>General</c:formatCode>
                <c:ptCount val="3"/>
                <c:pt idx="0">
                  <c:v>49</c:v>
                </c:pt>
                <c:pt idx="1">
                  <c:v>46</c:v>
                </c:pt>
                <c:pt idx="2">
                  <c:v>50</c:v>
                </c:pt>
              </c:numCache>
            </c:numRef>
          </c:val>
        </c:ser>
        <c:ser>
          <c:idx val="1"/>
          <c:order val="1"/>
          <c:tx>
            <c:strRef>
              <c:f>'retraite progressive'!$C$15</c:f>
              <c:strCache>
                <c:ptCount val="1"/>
                <c:pt idx="0">
                  <c:v>Non</c:v>
                </c:pt>
              </c:strCache>
            </c:strRef>
          </c:tx>
          <c:spPr>
            <a:solidFill>
              <a:srgbClr val="DC1F27"/>
            </a:solidFill>
          </c:spPr>
          <c:invertIfNegative val="0"/>
          <c:dLbls>
            <c:dLbl>
              <c:idx val="0"/>
              <c:layout>
                <c:manualLayout>
                  <c:x val="1.7653167727159868E-2"/>
                  <c:y val="-7.0631523683250428E-3"/>
                </c:manualLayout>
              </c:layout>
              <c:showLegendKey val="0"/>
              <c:showVal val="1"/>
              <c:showCatName val="0"/>
              <c:showSerName val="0"/>
              <c:showPercent val="0"/>
              <c:showBubbleSize val="0"/>
            </c:dLbl>
            <c:dLbl>
              <c:idx val="1"/>
              <c:layout>
                <c:manualLayout>
                  <c:x val="1.5446521761264884E-2"/>
                  <c:y val="-1.4126304736650086E-2"/>
                </c:manualLayout>
              </c:layout>
              <c:showLegendKey val="0"/>
              <c:showVal val="1"/>
              <c:showCatName val="0"/>
              <c:showSerName val="0"/>
              <c:showPercent val="0"/>
              <c:showBubbleSize val="0"/>
            </c:dLbl>
            <c:dLbl>
              <c:idx val="2"/>
              <c:layout>
                <c:manualLayout>
                  <c:x val="1.985981369305485E-2"/>
                  <c:y val="-1.4126304736650086E-2"/>
                </c:manualLayout>
              </c:layout>
              <c:showLegendKey val="0"/>
              <c:showVal val="1"/>
              <c:showCatName val="0"/>
              <c:showSerName val="0"/>
              <c:showPercent val="0"/>
              <c:showBubbleSize val="0"/>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'retraite progressive'!$A$16:$A$18</c:f>
              <c:strCache>
                <c:ptCount val="3"/>
                <c:pt idx="0">
                  <c:v>Ensemble des Français</c:v>
                </c:pt>
                <c:pt idx="1">
                  <c:v>Homme</c:v>
                </c:pt>
                <c:pt idx="2">
                  <c:v>Femme</c:v>
                </c:pt>
              </c:strCache>
            </c:strRef>
          </c:cat>
          <c:val>
            <c:numRef>
              <c:f>'retraite progressive'!$C$16:$C$18</c:f>
              <c:numCache>
                <c:formatCode>General</c:formatCode>
                <c:ptCount val="3"/>
                <c:pt idx="0">
                  <c:v>51</c:v>
                </c:pt>
                <c:pt idx="1">
                  <c:v>53</c:v>
                </c:pt>
                <c:pt idx="2">
                  <c:v>50</c:v>
                </c:pt>
              </c:numCache>
            </c:numRef>
          </c:val>
        </c:ser>
        <c:dLbls>
          <c:showLegendKey val="0"/>
          <c:showVal val="1"/>
          <c:showCatName val="0"/>
          <c:showSerName val="0"/>
          <c:showPercent val="0"/>
          <c:showBubbleSize val="0"/>
        </c:dLbls>
        <c:gapWidth val="150"/>
        <c:shape val="box"/>
        <c:axId val="221973888"/>
        <c:axId val="221992064"/>
        <c:axId val="0"/>
      </c:bar3DChart>
      <c:catAx>
        <c:axId val="221973888"/>
        <c:scaling>
          <c:orientation val="minMax"/>
        </c:scaling>
        <c:delete val="0"/>
        <c:axPos val="b"/>
        <c:numFmt formatCode="General" sourceLinked="0"/>
        <c:majorTickMark val="none"/>
        <c:minorTickMark val="none"/>
        <c:tickLblPos val="nextTo"/>
        <c:crossAx val="221992064"/>
        <c:crosses val="autoZero"/>
        <c:auto val="1"/>
        <c:lblAlgn val="ctr"/>
        <c:lblOffset val="100"/>
        <c:noMultiLvlLbl val="0"/>
      </c:catAx>
      <c:valAx>
        <c:axId val="221992064"/>
        <c:scaling>
          <c:orientation val="minMax"/>
        </c:scaling>
        <c:delete val="1"/>
        <c:axPos val="l"/>
        <c:numFmt formatCode="General" sourceLinked="1"/>
        <c:majorTickMark val="out"/>
        <c:minorTickMark val="none"/>
        <c:tickLblPos val="nextTo"/>
        <c:crossAx val="221973888"/>
        <c:crosses val="autoZero"/>
        <c:crossBetween val="between"/>
      </c:valAx>
    </c:plotArea>
    <c:legend>
      <c:legendPos val="t"/>
      <c:overlay val="0"/>
      <c:txPr>
        <a:bodyPr/>
        <a:lstStyle/>
        <a:p>
          <a:pPr>
            <a:defRPr b="0"/>
          </a:pPr>
          <a:endParaRPr lang="fr-FR"/>
        </a:p>
      </c:txPr>
    </c:legend>
    <c:plotVisOnly val="1"/>
    <c:dispBlanksAs val="gap"/>
    <c:showDLblsOverMax val="0"/>
  </c:chart>
  <c:txPr>
    <a:bodyPr/>
    <a:lstStyle/>
    <a:p>
      <a:pPr>
        <a:defRPr cap="small" baseline="0"/>
      </a:pPr>
      <a:endParaRPr lang="fr-F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qui doit financer les dépenses liées à la dépendance ? (en %)</a:t>
            </a:r>
          </a:p>
        </c:rich>
      </c:tx>
      <c:overlay val="0"/>
      <c:spPr>
        <a:noFill/>
        <a:ln>
          <a:noFill/>
        </a:ln>
        <a:effectLst/>
      </c:spPr>
    </c:title>
    <c:autoTitleDeleted val="0"/>
    <c:plotArea>
      <c:layout/>
      <c:barChart>
        <c:barDir val="bar"/>
        <c:grouping val="clustered"/>
        <c:varyColors val="0"/>
        <c:ser>
          <c:idx val="0"/>
          <c:order val="0"/>
          <c:tx>
            <c:strRef>
              <c:f>dépendance!$B$29</c:f>
              <c:strCache>
                <c:ptCount val="1"/>
                <c:pt idx="0">
                  <c:v>Ensemble des Français</c:v>
                </c:pt>
              </c:strCache>
            </c:strRef>
          </c:tx>
          <c:spPr>
            <a:solidFill>
              <a:srgbClr val="FF0000"/>
            </a:solidFill>
            <a:ln w="9525" cap="flat" cmpd="sng" algn="ctr">
              <a:noFill/>
              <a:round/>
            </a:ln>
            <a:effectLst>
              <a:outerShdw blurRad="40000" dist="20000" dir="5400000" rotWithShape="0">
                <a:srgbClr val="000000">
                  <a:alpha val="38000"/>
                </a:srgbClr>
              </a:outerShdw>
            </a:effectLst>
          </c:spPr>
          <c:invertIfNegative val="0"/>
          <c:dLbls>
            <c:spPr>
              <a:noFill/>
              <a:ln>
                <a:noFill/>
              </a:ln>
              <a:effectLst/>
            </c:spPr>
            <c:txPr>
              <a:bodyPr rot="0" vert="horz"/>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dépendance!$A$30:$A$33</c:f>
              <c:strCache>
                <c:ptCount val="4"/>
                <c:pt idx="0">
                  <c:v>Les individus par leur épargne ou en souscrivant une assurance spécifique</c:v>
                </c:pt>
                <c:pt idx="1">
                  <c:v>Les pouvoirs publics par les impôts</c:v>
                </c:pt>
                <c:pt idx="2">
                  <c:v>Les entreprises par la mise en place d'une couverture dépendance</c:v>
                </c:pt>
                <c:pt idx="3">
                  <c:v>Les régimes sociaux avec les cotisations sociales</c:v>
                </c:pt>
              </c:strCache>
            </c:strRef>
          </c:cat>
          <c:val>
            <c:numRef>
              <c:f>dépendance!$B$30:$B$33</c:f>
              <c:numCache>
                <c:formatCode>General</c:formatCode>
                <c:ptCount val="4"/>
                <c:pt idx="0">
                  <c:v>18</c:v>
                </c:pt>
                <c:pt idx="1">
                  <c:v>21</c:v>
                </c:pt>
                <c:pt idx="2">
                  <c:v>24</c:v>
                </c:pt>
                <c:pt idx="3">
                  <c:v>37</c:v>
                </c:pt>
              </c:numCache>
            </c:numRef>
          </c:val>
        </c:ser>
        <c:dLbls>
          <c:showLegendKey val="0"/>
          <c:showVal val="1"/>
          <c:showCatName val="0"/>
          <c:showSerName val="0"/>
          <c:showPercent val="0"/>
          <c:showBubbleSize val="0"/>
        </c:dLbls>
        <c:gapWidth val="150"/>
        <c:overlap val="-25"/>
        <c:axId val="222904704"/>
        <c:axId val="222907392"/>
      </c:barChart>
      <c:catAx>
        <c:axId val="22290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lgn="just">
              <a:defRPr baseline="0"/>
            </a:pPr>
            <a:endParaRPr lang="fr-FR"/>
          </a:p>
        </c:txPr>
        <c:crossAx val="222907392"/>
        <c:crosses val="autoZero"/>
        <c:auto val="1"/>
        <c:lblAlgn val="ctr"/>
        <c:lblOffset val="100"/>
        <c:noMultiLvlLbl val="0"/>
      </c:catAx>
      <c:valAx>
        <c:axId val="222907392"/>
        <c:scaling>
          <c:orientation val="minMax"/>
        </c:scaling>
        <c:delete val="1"/>
        <c:axPos val="b"/>
        <c:numFmt formatCode="General" sourceLinked="1"/>
        <c:majorTickMark val="none"/>
        <c:minorTickMark val="none"/>
        <c:tickLblPos val="nextTo"/>
        <c:crossAx val="222904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lumMod val="50000"/>
          <a:lumOff val="50000"/>
        </a:sysClr>
      </a:solidFill>
      <a:round/>
    </a:ln>
    <a:effectLst/>
  </c:spPr>
  <c:txPr>
    <a:bodyPr/>
    <a:lstStyle/>
    <a:p>
      <a:pPr>
        <a:defRPr cap="small" baseline="0"/>
      </a:pPr>
      <a:endParaRPr lang="fr-F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fr-FR" sz="1200"/>
              <a:t>qui doit payer pour la dépendance ? (en %)</a:t>
            </a:r>
          </a:p>
        </c:rich>
      </c:tx>
      <c:overlay val="0"/>
      <c:spPr>
        <a:noFill/>
        <a:ln>
          <a:noFill/>
        </a:ln>
        <a:effectLst/>
      </c:spPr>
    </c:title>
    <c:autoTitleDeleted val="0"/>
    <c:plotArea>
      <c:layout/>
      <c:barChart>
        <c:barDir val="col"/>
        <c:grouping val="clustered"/>
        <c:varyColors val="0"/>
        <c:ser>
          <c:idx val="0"/>
          <c:order val="0"/>
          <c:tx>
            <c:strRef>
              <c:f>'fiancement dépendance'!$B$10</c:f>
              <c:strCache>
                <c:ptCount val="1"/>
                <c:pt idx="0">
                  <c:v>Ensemble des Français</c:v>
                </c:pt>
              </c:strCache>
            </c:strRef>
          </c:tx>
          <c:spPr>
            <a:solidFill>
              <a:srgbClr val="DC1F27"/>
            </a:solidFill>
            <a:ln>
              <a:noFill/>
            </a:ln>
            <a:effectLst/>
          </c:spPr>
          <c:invertIfNegative val="0"/>
          <c:dLbls>
            <c:spPr>
              <a:noFill/>
              <a:ln>
                <a:noFill/>
              </a:ln>
              <a:effectLst/>
            </c:spPr>
            <c:txPr>
              <a:bodyPr rot="-5400000" vert="horz"/>
              <a:lstStyle/>
              <a:p>
                <a:pPr>
                  <a:defRPr b="1"/>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'fiancement dépendance'!$A$11:$A$12</c:f>
              <c:strCache>
                <c:ptCount val="2"/>
                <c:pt idx="0">
                  <c:v>Financement par les retraités</c:v>
                </c:pt>
                <c:pt idx="1">
                  <c:v>Financement par tous les Français</c:v>
                </c:pt>
              </c:strCache>
            </c:strRef>
          </c:cat>
          <c:val>
            <c:numRef>
              <c:f>'fiancement dépendance'!$B$11:$B$12</c:f>
              <c:numCache>
                <c:formatCode>General</c:formatCode>
                <c:ptCount val="2"/>
                <c:pt idx="0">
                  <c:v>29</c:v>
                </c:pt>
                <c:pt idx="1">
                  <c:v>71</c:v>
                </c:pt>
              </c:numCache>
            </c:numRef>
          </c:val>
        </c:ser>
        <c:ser>
          <c:idx val="1"/>
          <c:order val="1"/>
          <c:tx>
            <c:strRef>
              <c:f>'fiancement dépendance'!$C$10</c:f>
              <c:strCache>
                <c:ptCount val="1"/>
                <c:pt idx="0">
                  <c:v>Retraités</c:v>
                </c:pt>
              </c:strCache>
            </c:strRef>
          </c:tx>
          <c:spPr>
            <a:solidFill>
              <a:srgbClr val="00B6BC"/>
            </a:solidFill>
            <a:ln>
              <a:noFill/>
            </a:ln>
            <a:effectLst/>
          </c:spPr>
          <c:invertIfNegative val="0"/>
          <c:dLbls>
            <c:spPr>
              <a:noFill/>
              <a:ln>
                <a:noFill/>
              </a:ln>
              <a:effectLst/>
            </c:spPr>
            <c:txPr>
              <a:bodyPr rot="-5400000" vert="horz"/>
              <a:lstStyle/>
              <a:p>
                <a:pPr>
                  <a:defRPr b="1"/>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'fiancement dépendance'!$A$11:$A$12</c:f>
              <c:strCache>
                <c:ptCount val="2"/>
                <c:pt idx="0">
                  <c:v>Financement par les retraités</c:v>
                </c:pt>
                <c:pt idx="1">
                  <c:v>Financement par tous les Français</c:v>
                </c:pt>
              </c:strCache>
            </c:strRef>
          </c:cat>
          <c:val>
            <c:numRef>
              <c:f>'fiancement dépendance'!$C$11:$C$12</c:f>
              <c:numCache>
                <c:formatCode>General</c:formatCode>
                <c:ptCount val="2"/>
                <c:pt idx="0">
                  <c:v>18</c:v>
                </c:pt>
                <c:pt idx="1">
                  <c:v>82</c:v>
                </c:pt>
              </c:numCache>
            </c:numRef>
          </c:val>
        </c:ser>
        <c:ser>
          <c:idx val="2"/>
          <c:order val="2"/>
          <c:tx>
            <c:strRef>
              <c:f>'fiancement dépendance'!$D$10</c:f>
              <c:strCache>
                <c:ptCount val="1"/>
                <c:pt idx="0">
                  <c:v>Actifs</c:v>
                </c:pt>
              </c:strCache>
            </c:strRef>
          </c:tx>
          <c:spPr>
            <a:solidFill>
              <a:srgbClr val="1C5484"/>
            </a:solidFill>
            <a:ln>
              <a:noFill/>
            </a:ln>
            <a:effectLst/>
          </c:spPr>
          <c:invertIfNegative val="0"/>
          <c:dLbls>
            <c:spPr>
              <a:noFill/>
              <a:ln>
                <a:noFill/>
              </a:ln>
              <a:effectLst/>
            </c:spPr>
            <c:txPr>
              <a:bodyPr rot="-5400000" vert="horz"/>
              <a:lstStyle/>
              <a:p>
                <a:pPr>
                  <a:defRPr b="1"/>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'fiancement dépendance'!$A$11:$A$12</c:f>
              <c:strCache>
                <c:ptCount val="2"/>
                <c:pt idx="0">
                  <c:v>Financement par les retraités</c:v>
                </c:pt>
                <c:pt idx="1">
                  <c:v>Financement par tous les Français</c:v>
                </c:pt>
              </c:strCache>
            </c:strRef>
          </c:cat>
          <c:val>
            <c:numRef>
              <c:f>'fiancement dépendance'!$D$11:$D$12</c:f>
              <c:numCache>
                <c:formatCode>General</c:formatCode>
                <c:ptCount val="2"/>
                <c:pt idx="0">
                  <c:v>32</c:v>
                </c:pt>
                <c:pt idx="1">
                  <c:v>68</c:v>
                </c:pt>
              </c:numCache>
            </c:numRef>
          </c:val>
        </c:ser>
        <c:dLbls>
          <c:dLblPos val="outEnd"/>
          <c:showLegendKey val="0"/>
          <c:showVal val="1"/>
          <c:showCatName val="0"/>
          <c:showSerName val="0"/>
          <c:showPercent val="0"/>
          <c:showBubbleSize val="0"/>
        </c:dLbls>
        <c:gapWidth val="444"/>
        <c:overlap val="-90"/>
        <c:axId val="223221248"/>
        <c:axId val="223222784"/>
      </c:barChart>
      <c:catAx>
        <c:axId val="223221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223222784"/>
        <c:crosses val="autoZero"/>
        <c:auto val="1"/>
        <c:lblAlgn val="ctr"/>
        <c:lblOffset val="100"/>
        <c:noMultiLvlLbl val="0"/>
      </c:catAx>
      <c:valAx>
        <c:axId val="223222784"/>
        <c:scaling>
          <c:orientation val="minMax"/>
        </c:scaling>
        <c:delete val="1"/>
        <c:axPos val="l"/>
        <c:numFmt formatCode="General" sourceLinked="1"/>
        <c:majorTickMark val="none"/>
        <c:minorTickMark val="none"/>
        <c:tickLblPos val="nextTo"/>
        <c:crossAx val="223221248"/>
        <c:crosses val="autoZero"/>
        <c:crossBetween val="between"/>
      </c:valAx>
      <c:spPr>
        <a:noFill/>
        <a:ln>
          <a:noFill/>
        </a:ln>
        <a:effectLst/>
      </c:spPr>
    </c:plotArea>
    <c:legend>
      <c:legendPos val="t"/>
      <c:overlay val="0"/>
      <c:spPr>
        <a:noFill/>
        <a:ln>
          <a:noFill/>
        </a:ln>
        <a:effectLst/>
      </c:spPr>
      <c:txPr>
        <a:bodyPr rot="0" vert="horz"/>
        <a:lstStyle/>
        <a:p>
          <a:pPr>
            <a:defRPr/>
          </a:pPr>
          <a:endParaRPr lang="fr-FR"/>
        </a:p>
      </c:txPr>
    </c:legend>
    <c:plotVisOnly val="1"/>
    <c:dispBlanksAs val="gap"/>
    <c:showDLblsOverMax val="0"/>
  </c:chart>
  <c:spPr>
    <a:solidFill>
      <a:schemeClr val="lt1"/>
    </a:solidFill>
    <a:ln w="9525" cap="flat" cmpd="sng" algn="ctr">
      <a:solidFill>
        <a:sysClr val="windowText" lastClr="000000">
          <a:lumMod val="50000"/>
          <a:lumOff val="50000"/>
        </a:sysClr>
      </a:solidFill>
      <a:round/>
    </a:ln>
    <a:effectLst/>
  </c:spPr>
  <c:txPr>
    <a:bodyPr/>
    <a:lstStyle/>
    <a:p>
      <a:pPr>
        <a:defRPr cap="small" baseline="0"/>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cap="small" baseline="0"/>
            </a:pPr>
            <a:r>
              <a:rPr lang="fr-FR" sz="1200" cap="small" baseline="0"/>
              <a:t>faut-il moduler le taux d'imposition des produits de l'épargne  en fonction du risque ? (en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'risques '!$B$10</c:f>
              <c:strCache>
                <c:ptCount val="1"/>
                <c:pt idx="0">
                  <c:v>ensemble des Français </c:v>
                </c:pt>
              </c:strCache>
            </c:strRef>
          </c:tx>
          <c:spPr>
            <a:solidFill>
              <a:srgbClr val="DC1F27"/>
            </a:solidFill>
          </c:spPr>
          <c:invertIfNegative val="0"/>
          <c:dPt>
            <c:idx val="0"/>
            <c:invertIfNegative val="0"/>
            <c:bubble3D val="0"/>
            <c:spPr>
              <a:solidFill>
                <a:srgbClr val="00B6BC"/>
              </a:solidFill>
            </c:spPr>
          </c:dPt>
          <c:dPt>
            <c:idx val="1"/>
            <c:invertIfNegative val="0"/>
            <c:bubble3D val="0"/>
            <c:spPr>
              <a:solidFill>
                <a:srgbClr val="1C5484"/>
              </a:solidFill>
            </c:spPr>
          </c:dPt>
          <c:dLbls>
            <c:dLbl>
              <c:idx val="0"/>
              <c:spPr/>
              <c:txPr>
                <a:bodyPr/>
                <a:lstStyle/>
                <a:p>
                  <a:pPr>
                    <a:defRPr b="1">
                      <a:solidFill>
                        <a:schemeClr val="bg1"/>
                      </a:solidFill>
                    </a:defRPr>
                  </a:pPr>
                  <a:endParaRPr lang="fr-FR"/>
                </a:p>
              </c:txPr>
              <c:showLegendKey val="0"/>
              <c:showVal val="1"/>
              <c:showCatName val="0"/>
              <c:showSerName val="0"/>
              <c:showPercent val="0"/>
              <c:showBubbleSize val="0"/>
            </c:dLbl>
            <c:dLbl>
              <c:idx val="1"/>
              <c:spPr/>
              <c:txPr>
                <a:bodyPr/>
                <a:lstStyle/>
                <a:p>
                  <a:pPr>
                    <a:defRPr b="1">
                      <a:solidFill>
                        <a:schemeClr val="bg1"/>
                      </a:solidFill>
                    </a:defRPr>
                  </a:pPr>
                  <a:endParaRPr lang="fr-FR"/>
                </a:p>
              </c:txPr>
              <c:showLegendKey val="0"/>
              <c:showVal val="1"/>
              <c:showCatName val="0"/>
              <c:showSerName val="0"/>
              <c:showPercent val="0"/>
              <c:showBubbleSize val="0"/>
            </c:dLbl>
            <c:txPr>
              <a:bodyPr/>
              <a:lstStyle/>
              <a:p>
                <a:pPr>
                  <a:defRPr>
                    <a:solidFill>
                      <a:schemeClr val="bg1"/>
                    </a:solidFill>
                  </a:defRPr>
                </a:pPr>
                <a:endParaRPr lang="fr-FR"/>
              </a:p>
            </c:txPr>
            <c:showLegendKey val="0"/>
            <c:showVal val="1"/>
            <c:showCatName val="0"/>
            <c:showSerName val="0"/>
            <c:showPercent val="0"/>
            <c:showBubbleSize val="0"/>
            <c:showLeaderLines val="0"/>
          </c:dLbls>
          <c:cat>
            <c:strRef>
              <c:f>'risques '!$A$11:$A$12</c:f>
              <c:strCache>
                <c:ptCount val="2"/>
                <c:pt idx="0">
                  <c:v>Favorable</c:v>
                </c:pt>
                <c:pt idx="1">
                  <c:v>Opposé</c:v>
                </c:pt>
              </c:strCache>
            </c:strRef>
          </c:cat>
          <c:val>
            <c:numRef>
              <c:f>'risques '!$B$11:$B$12</c:f>
              <c:numCache>
                <c:formatCode>General</c:formatCode>
                <c:ptCount val="2"/>
                <c:pt idx="0">
                  <c:v>22</c:v>
                </c:pt>
                <c:pt idx="1">
                  <c:v>78</c:v>
                </c:pt>
              </c:numCache>
            </c:numRef>
          </c:val>
        </c:ser>
        <c:dLbls>
          <c:showLegendKey val="0"/>
          <c:showVal val="1"/>
          <c:showCatName val="0"/>
          <c:showSerName val="0"/>
          <c:showPercent val="0"/>
          <c:showBubbleSize val="0"/>
        </c:dLbls>
        <c:gapWidth val="150"/>
        <c:shape val="cylinder"/>
        <c:axId val="200050176"/>
        <c:axId val="200051712"/>
        <c:axId val="0"/>
      </c:bar3DChart>
      <c:catAx>
        <c:axId val="200050176"/>
        <c:scaling>
          <c:orientation val="minMax"/>
        </c:scaling>
        <c:delete val="0"/>
        <c:axPos val="b"/>
        <c:majorTickMark val="none"/>
        <c:minorTickMark val="none"/>
        <c:tickLblPos val="low"/>
        <c:txPr>
          <a:bodyPr rot="0" vert="horz" anchor="ctr" anchorCtr="0"/>
          <a:lstStyle/>
          <a:p>
            <a:pPr>
              <a:defRPr b="0" cap="small" baseline="0"/>
            </a:pPr>
            <a:endParaRPr lang="fr-FR"/>
          </a:p>
        </c:txPr>
        <c:crossAx val="200051712"/>
        <c:crosses val="autoZero"/>
        <c:auto val="1"/>
        <c:lblAlgn val="ctr"/>
        <c:lblOffset val="100"/>
        <c:noMultiLvlLbl val="0"/>
      </c:catAx>
      <c:valAx>
        <c:axId val="200051712"/>
        <c:scaling>
          <c:orientation val="minMax"/>
        </c:scaling>
        <c:delete val="1"/>
        <c:axPos val="l"/>
        <c:numFmt formatCode="General" sourceLinked="1"/>
        <c:majorTickMark val="out"/>
        <c:minorTickMark val="none"/>
        <c:tickLblPos val="nextTo"/>
        <c:crossAx val="20005017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cap="small" baseline="0"/>
            </a:pPr>
            <a:r>
              <a:rPr lang="fr-FR" sz="1200" cap="small" baseline="0"/>
              <a:t>faut-il changer les règles en matière de succession ?  (en %)</a:t>
            </a: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'héritage ou donation'!$A$10</c:f>
              <c:strCache>
                <c:ptCount val="1"/>
                <c:pt idx="0">
                  <c:v>Maintien en état du droit des successions</c:v>
                </c:pt>
              </c:strCache>
            </c:strRef>
          </c:tx>
          <c:spPr>
            <a:solidFill>
              <a:srgbClr val="00B6BC"/>
            </a:solidFill>
          </c:spPr>
          <c:invertIfNegative val="0"/>
          <c:dLbls>
            <c:txPr>
              <a:bodyPr/>
              <a:lstStyle/>
              <a:p>
                <a:pPr>
                  <a:defRPr b="1">
                    <a:solidFill>
                      <a:schemeClr val="bg1"/>
                    </a:solidFill>
                  </a:defRPr>
                </a:pPr>
                <a:endParaRPr lang="fr-FR"/>
              </a:p>
            </c:txPr>
            <c:showLegendKey val="0"/>
            <c:showVal val="1"/>
            <c:showCatName val="0"/>
            <c:showSerName val="0"/>
            <c:showPercent val="0"/>
            <c:showBubbleSize val="0"/>
            <c:showLeaderLines val="0"/>
          </c:dLbls>
          <c:val>
            <c:numRef>
              <c:f>'héritage ou donation'!$B$10</c:f>
              <c:numCache>
                <c:formatCode>General</c:formatCode>
                <c:ptCount val="1"/>
                <c:pt idx="0">
                  <c:v>24</c:v>
                </c:pt>
              </c:numCache>
            </c:numRef>
          </c:val>
        </c:ser>
        <c:ser>
          <c:idx val="1"/>
          <c:order val="1"/>
          <c:tx>
            <c:strRef>
              <c:f>'héritage ou donation'!$A$11</c:f>
              <c:strCache>
                <c:ptCount val="1"/>
                <c:pt idx="0">
                  <c:v>Encouragement des donations</c:v>
                </c:pt>
              </c:strCache>
            </c:strRef>
          </c:tx>
          <c:spPr>
            <a:solidFill>
              <a:srgbClr val="1C5484"/>
            </a:solidFill>
          </c:spPr>
          <c:invertIfNegative val="0"/>
          <c:dLbls>
            <c:txPr>
              <a:bodyPr/>
              <a:lstStyle/>
              <a:p>
                <a:pPr>
                  <a:defRPr b="1">
                    <a:solidFill>
                      <a:schemeClr val="bg1"/>
                    </a:solidFill>
                  </a:defRPr>
                </a:pPr>
                <a:endParaRPr lang="fr-FR"/>
              </a:p>
            </c:txPr>
            <c:showLegendKey val="0"/>
            <c:showVal val="1"/>
            <c:showCatName val="0"/>
            <c:showSerName val="0"/>
            <c:showPercent val="0"/>
            <c:showBubbleSize val="0"/>
            <c:showLeaderLines val="0"/>
          </c:dLbls>
          <c:val>
            <c:numRef>
              <c:f>'héritage ou donation'!$B$11</c:f>
              <c:numCache>
                <c:formatCode>General</c:formatCode>
                <c:ptCount val="1"/>
                <c:pt idx="0">
                  <c:v>76</c:v>
                </c:pt>
              </c:numCache>
            </c:numRef>
          </c:val>
        </c:ser>
        <c:dLbls>
          <c:showLegendKey val="0"/>
          <c:showVal val="1"/>
          <c:showCatName val="0"/>
          <c:showSerName val="0"/>
          <c:showPercent val="0"/>
          <c:showBubbleSize val="0"/>
        </c:dLbls>
        <c:gapWidth val="150"/>
        <c:shape val="cylinder"/>
        <c:axId val="207536896"/>
        <c:axId val="218312064"/>
        <c:axId val="0"/>
      </c:bar3DChart>
      <c:catAx>
        <c:axId val="207536896"/>
        <c:scaling>
          <c:orientation val="minMax"/>
        </c:scaling>
        <c:delete val="1"/>
        <c:axPos val="b"/>
        <c:majorTickMark val="none"/>
        <c:minorTickMark val="none"/>
        <c:tickLblPos val="nextTo"/>
        <c:crossAx val="218312064"/>
        <c:crosses val="autoZero"/>
        <c:auto val="1"/>
        <c:lblAlgn val="ctr"/>
        <c:lblOffset val="100"/>
        <c:noMultiLvlLbl val="0"/>
      </c:catAx>
      <c:valAx>
        <c:axId val="218312064"/>
        <c:scaling>
          <c:orientation val="minMax"/>
        </c:scaling>
        <c:delete val="1"/>
        <c:axPos val="l"/>
        <c:numFmt formatCode="General" sourceLinked="1"/>
        <c:majorTickMark val="none"/>
        <c:minorTickMark val="none"/>
        <c:tickLblPos val="nextTo"/>
        <c:crossAx val="207536896"/>
        <c:crosses val="autoZero"/>
        <c:crossBetween val="between"/>
      </c:valAx>
    </c:plotArea>
    <c:legend>
      <c:legendPos val="t"/>
      <c:overlay val="0"/>
      <c:txPr>
        <a:bodyPr/>
        <a:lstStyle/>
        <a:p>
          <a:pPr>
            <a:defRPr cap="small" baseline="0"/>
          </a:pPr>
          <a:endParaRPr lang="fr-FR"/>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cap="small" baseline="0"/>
            </a:pPr>
            <a:r>
              <a:rPr lang="fr-FR" sz="1200" cap="small" baseline="0"/>
              <a:t>quel jugement portez-vous sur l'isf ? </a:t>
            </a:r>
          </a:p>
          <a:p>
            <a:pPr>
              <a:defRPr cap="small" baseline="0"/>
            </a:pPr>
            <a:r>
              <a:rPr lang="fr-FR" sz="1200" cap="small" baseline="0"/>
              <a:t>(en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ISF!$A$13</c:f>
              <c:strCache>
                <c:ptCount val="1"/>
                <c:pt idx="0">
                  <c:v>C'est un bon impôt, il faut le maintenir à son niveau actuel</c:v>
                </c:pt>
              </c:strCache>
            </c:strRef>
          </c:tx>
          <c:spPr>
            <a:solidFill>
              <a:srgbClr val="1C5484"/>
            </a:solidFill>
            <a:ln>
              <a:noFill/>
            </a:ln>
          </c:spPr>
          <c:invertIfNegative val="0"/>
          <c:dLbls>
            <c:txPr>
              <a:bodyPr/>
              <a:lstStyle/>
              <a:p>
                <a:pPr>
                  <a:defRPr b="1">
                    <a:solidFill>
                      <a:schemeClr val="bg1"/>
                    </a:solidFill>
                  </a:defRPr>
                </a:pPr>
                <a:endParaRPr lang="fr-FR"/>
              </a:p>
            </c:txPr>
            <c:showLegendKey val="0"/>
            <c:showVal val="1"/>
            <c:showCatName val="0"/>
            <c:showSerName val="0"/>
            <c:showPercent val="0"/>
            <c:showBubbleSize val="0"/>
            <c:showLeaderLines val="0"/>
          </c:dLbls>
          <c:cat>
            <c:strRef>
              <c:f>ISF!$B$12</c:f>
              <c:strCache>
                <c:ptCount val="1"/>
                <c:pt idx="0">
                  <c:v>Ensemble des Français</c:v>
                </c:pt>
              </c:strCache>
            </c:strRef>
          </c:cat>
          <c:val>
            <c:numRef>
              <c:f>ISF!$B$13</c:f>
              <c:numCache>
                <c:formatCode>General</c:formatCode>
                <c:ptCount val="1"/>
                <c:pt idx="0">
                  <c:v>32</c:v>
                </c:pt>
              </c:numCache>
            </c:numRef>
          </c:val>
        </c:ser>
        <c:ser>
          <c:idx val="1"/>
          <c:order val="1"/>
          <c:tx>
            <c:strRef>
              <c:f>ISF!$A$14</c:f>
              <c:strCache>
                <c:ptCount val="1"/>
                <c:pt idx="0">
                  <c:v>Ce n'est pas un bon impôt, il faut fortement le réduire</c:v>
                </c:pt>
              </c:strCache>
            </c:strRef>
          </c:tx>
          <c:spPr>
            <a:solidFill>
              <a:srgbClr val="00B6BC"/>
            </a:solidFill>
          </c:spPr>
          <c:invertIfNegative val="0"/>
          <c:dLbls>
            <c:txPr>
              <a:bodyPr/>
              <a:lstStyle/>
              <a:p>
                <a:pPr>
                  <a:defRPr b="1">
                    <a:solidFill>
                      <a:schemeClr val="bg1"/>
                    </a:solidFill>
                  </a:defRPr>
                </a:pPr>
                <a:endParaRPr lang="fr-FR"/>
              </a:p>
            </c:txPr>
            <c:showLegendKey val="0"/>
            <c:showVal val="1"/>
            <c:showCatName val="0"/>
            <c:showSerName val="0"/>
            <c:showPercent val="0"/>
            <c:showBubbleSize val="0"/>
            <c:showLeaderLines val="0"/>
          </c:dLbls>
          <c:cat>
            <c:strRef>
              <c:f>ISF!$B$12</c:f>
              <c:strCache>
                <c:ptCount val="1"/>
                <c:pt idx="0">
                  <c:v>Ensemble des Français</c:v>
                </c:pt>
              </c:strCache>
            </c:strRef>
          </c:cat>
          <c:val>
            <c:numRef>
              <c:f>ISF!$B$14</c:f>
              <c:numCache>
                <c:formatCode>General</c:formatCode>
                <c:ptCount val="1"/>
                <c:pt idx="0">
                  <c:v>26</c:v>
                </c:pt>
              </c:numCache>
            </c:numRef>
          </c:val>
        </c:ser>
        <c:ser>
          <c:idx val="2"/>
          <c:order val="2"/>
          <c:tx>
            <c:strRef>
              <c:f>ISF!$A$15</c:f>
              <c:strCache>
                <c:ptCount val="1"/>
                <c:pt idx="0">
                  <c:v>C'est un bon impôt qu'il faut augmeneter</c:v>
                </c:pt>
              </c:strCache>
            </c:strRef>
          </c:tx>
          <c:spPr>
            <a:solidFill>
              <a:srgbClr val="DC1F27"/>
            </a:solidFill>
          </c:spPr>
          <c:invertIfNegative val="0"/>
          <c:dLbls>
            <c:txPr>
              <a:bodyPr/>
              <a:lstStyle/>
              <a:p>
                <a:pPr>
                  <a:defRPr b="1">
                    <a:solidFill>
                      <a:schemeClr val="bg1"/>
                    </a:solidFill>
                  </a:defRPr>
                </a:pPr>
                <a:endParaRPr lang="fr-FR"/>
              </a:p>
            </c:txPr>
            <c:showLegendKey val="0"/>
            <c:showVal val="1"/>
            <c:showCatName val="0"/>
            <c:showSerName val="0"/>
            <c:showPercent val="0"/>
            <c:showBubbleSize val="0"/>
            <c:showLeaderLines val="0"/>
          </c:dLbls>
          <c:cat>
            <c:strRef>
              <c:f>ISF!$B$12</c:f>
              <c:strCache>
                <c:ptCount val="1"/>
                <c:pt idx="0">
                  <c:v>Ensemble des Français</c:v>
                </c:pt>
              </c:strCache>
            </c:strRef>
          </c:cat>
          <c:val>
            <c:numRef>
              <c:f>ISF!$B$15</c:f>
              <c:numCache>
                <c:formatCode>General</c:formatCode>
                <c:ptCount val="1"/>
                <c:pt idx="0">
                  <c:v>24</c:v>
                </c:pt>
              </c:numCache>
            </c:numRef>
          </c:val>
        </c:ser>
        <c:ser>
          <c:idx val="3"/>
          <c:order val="3"/>
          <c:tx>
            <c:strRef>
              <c:f>ISF!$A$16</c:f>
              <c:strCache>
                <c:ptCount val="1"/>
                <c:pt idx="0">
                  <c:v>L'ISF est un mauvais impôt pour l'économie, il faut le supprimer</c:v>
                </c:pt>
              </c:strCache>
            </c:strRef>
          </c:tx>
          <c:spPr>
            <a:solidFill>
              <a:srgbClr val="00B2E9"/>
            </a:solidFill>
          </c:spPr>
          <c:invertIfNegative val="0"/>
          <c:dLbls>
            <c:txPr>
              <a:bodyPr/>
              <a:lstStyle/>
              <a:p>
                <a:pPr>
                  <a:defRPr b="1" i="0">
                    <a:solidFill>
                      <a:schemeClr val="bg1"/>
                    </a:solidFill>
                  </a:defRPr>
                </a:pPr>
                <a:endParaRPr lang="fr-FR"/>
              </a:p>
            </c:txPr>
            <c:showLegendKey val="0"/>
            <c:showVal val="1"/>
            <c:showCatName val="0"/>
            <c:showSerName val="0"/>
            <c:showPercent val="0"/>
            <c:showBubbleSize val="0"/>
            <c:showLeaderLines val="0"/>
          </c:dLbls>
          <c:cat>
            <c:strRef>
              <c:f>ISF!$B$12</c:f>
              <c:strCache>
                <c:ptCount val="1"/>
                <c:pt idx="0">
                  <c:v>Ensemble des Français</c:v>
                </c:pt>
              </c:strCache>
            </c:strRef>
          </c:cat>
          <c:val>
            <c:numRef>
              <c:f>ISF!$B$16</c:f>
              <c:numCache>
                <c:formatCode>General</c:formatCode>
                <c:ptCount val="1"/>
                <c:pt idx="0">
                  <c:v>18</c:v>
                </c:pt>
              </c:numCache>
            </c:numRef>
          </c:val>
        </c:ser>
        <c:dLbls>
          <c:showLegendKey val="0"/>
          <c:showVal val="1"/>
          <c:showCatName val="0"/>
          <c:showSerName val="0"/>
          <c:showPercent val="0"/>
          <c:showBubbleSize val="0"/>
        </c:dLbls>
        <c:gapWidth val="100"/>
        <c:gapDepth val="50"/>
        <c:shape val="cylinder"/>
        <c:axId val="220568576"/>
        <c:axId val="220755840"/>
        <c:axId val="0"/>
      </c:bar3DChart>
      <c:catAx>
        <c:axId val="220568576"/>
        <c:scaling>
          <c:orientation val="minMax"/>
        </c:scaling>
        <c:delete val="0"/>
        <c:axPos val="b"/>
        <c:majorTickMark val="none"/>
        <c:minorTickMark val="none"/>
        <c:tickLblPos val="nextTo"/>
        <c:txPr>
          <a:bodyPr/>
          <a:lstStyle/>
          <a:p>
            <a:pPr>
              <a:defRPr b="0" cap="small" baseline="0"/>
            </a:pPr>
            <a:endParaRPr lang="fr-FR"/>
          </a:p>
        </c:txPr>
        <c:crossAx val="220755840"/>
        <c:crosses val="autoZero"/>
        <c:auto val="1"/>
        <c:lblAlgn val="ctr"/>
        <c:lblOffset val="100"/>
        <c:noMultiLvlLbl val="0"/>
      </c:catAx>
      <c:valAx>
        <c:axId val="220755840"/>
        <c:scaling>
          <c:orientation val="minMax"/>
        </c:scaling>
        <c:delete val="1"/>
        <c:axPos val="l"/>
        <c:numFmt formatCode="General" sourceLinked="1"/>
        <c:majorTickMark val="none"/>
        <c:minorTickMark val="none"/>
        <c:tickLblPos val="nextTo"/>
        <c:crossAx val="220568576"/>
        <c:crosses val="autoZero"/>
        <c:crossBetween val="between"/>
      </c:valAx>
    </c:plotArea>
    <c:legend>
      <c:legendPos val="t"/>
      <c:layout>
        <c:manualLayout>
          <c:xMode val="edge"/>
          <c:yMode val="edge"/>
          <c:x val="0.21609892445990603"/>
          <c:y val="0.15981654612806492"/>
          <c:w val="0.68254756755507628"/>
          <c:h val="0.22533708764212571"/>
        </c:manualLayout>
      </c:layout>
      <c:overlay val="0"/>
      <c:txPr>
        <a:bodyPr/>
        <a:lstStyle/>
        <a:p>
          <a:pPr>
            <a:defRPr cap="small" baseline="0"/>
          </a:pPr>
          <a:endParaRPr lang="fr-FR"/>
        </a:p>
      </c:txPr>
    </c:legend>
    <c:plotVisOnly val="1"/>
    <c:dispBlanksAs val="gap"/>
    <c:showDLblsOverMax val="0"/>
  </c:chart>
  <c:spPr>
    <a:ln>
      <a:solidFill>
        <a:sysClr val="windowText" lastClr="000000">
          <a:lumMod val="50000"/>
          <a:lumOff val="50000"/>
        </a:sys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cap="small" baseline="0"/>
            </a:pPr>
            <a:r>
              <a:rPr lang="fr-FR" sz="1200" cap="small" baseline="0"/>
              <a:t>estimez-vous que le taux de la csg des retraités doit être aligné sur celui des actifs ? (en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'CSG '!$A$11</c:f>
              <c:strCache>
                <c:ptCount val="1"/>
                <c:pt idx="0">
                  <c:v>Alignement du taux de CSG des retraités sur celui des actifs</c:v>
                </c:pt>
              </c:strCache>
            </c:strRef>
          </c:tx>
          <c:spPr>
            <a:solidFill>
              <a:srgbClr val="00B6BC"/>
            </a:solidFill>
          </c:spPr>
          <c:invertIfNegative val="0"/>
          <c:dLbls>
            <c:dLbl>
              <c:idx val="0"/>
              <c:spPr/>
              <c:txPr>
                <a:bodyPr/>
                <a:lstStyle/>
                <a:p>
                  <a:pPr>
                    <a:defRPr b="1">
                      <a:solidFill>
                        <a:schemeClr val="bg1"/>
                      </a:solidFill>
                    </a:defRPr>
                  </a:pPr>
                  <a:endParaRPr lang="fr-FR"/>
                </a:p>
              </c:txPr>
              <c:showLegendKey val="0"/>
              <c:showVal val="1"/>
              <c:showCatName val="0"/>
              <c:showSerName val="0"/>
              <c:showPercent val="0"/>
              <c:showBubbleSize val="0"/>
            </c:dLbl>
            <c:showLegendKey val="0"/>
            <c:showVal val="1"/>
            <c:showCatName val="0"/>
            <c:showSerName val="0"/>
            <c:showPercent val="0"/>
            <c:showBubbleSize val="0"/>
            <c:showLeaderLines val="0"/>
          </c:dLbls>
          <c:cat>
            <c:strRef>
              <c:f>'CSG '!$B$10</c:f>
              <c:strCache>
                <c:ptCount val="1"/>
                <c:pt idx="0">
                  <c:v>Ensemble des Français</c:v>
                </c:pt>
              </c:strCache>
            </c:strRef>
          </c:cat>
          <c:val>
            <c:numRef>
              <c:f>'CSG '!$B$11</c:f>
              <c:numCache>
                <c:formatCode>General</c:formatCode>
                <c:ptCount val="1"/>
                <c:pt idx="0">
                  <c:v>13</c:v>
                </c:pt>
              </c:numCache>
            </c:numRef>
          </c:val>
        </c:ser>
        <c:ser>
          <c:idx val="1"/>
          <c:order val="1"/>
          <c:tx>
            <c:strRef>
              <c:f>'CSG '!$A$12</c:f>
              <c:strCache>
                <c:ptCount val="1"/>
                <c:pt idx="0">
                  <c:v>Alignement mais uniquement pour les retraites supérieures au salaire moyen</c:v>
                </c:pt>
              </c:strCache>
            </c:strRef>
          </c:tx>
          <c:spPr>
            <a:solidFill>
              <a:srgbClr val="1C5484"/>
            </a:solidFill>
          </c:spPr>
          <c:invertIfNegative val="0"/>
          <c:dLbls>
            <c:txPr>
              <a:bodyPr/>
              <a:lstStyle/>
              <a:p>
                <a:pPr>
                  <a:defRPr b="1">
                    <a:solidFill>
                      <a:schemeClr val="bg1"/>
                    </a:solidFill>
                  </a:defRPr>
                </a:pPr>
                <a:endParaRPr lang="fr-FR"/>
              </a:p>
            </c:txPr>
            <c:showLegendKey val="0"/>
            <c:showVal val="1"/>
            <c:showCatName val="0"/>
            <c:showSerName val="0"/>
            <c:showPercent val="0"/>
            <c:showBubbleSize val="0"/>
            <c:showLeaderLines val="0"/>
          </c:dLbls>
          <c:cat>
            <c:strRef>
              <c:f>'CSG '!$B$10</c:f>
              <c:strCache>
                <c:ptCount val="1"/>
                <c:pt idx="0">
                  <c:v>Ensemble des Français</c:v>
                </c:pt>
              </c:strCache>
            </c:strRef>
          </c:cat>
          <c:val>
            <c:numRef>
              <c:f>'CSG '!$B$12</c:f>
              <c:numCache>
                <c:formatCode>General</c:formatCode>
                <c:ptCount val="1"/>
                <c:pt idx="0">
                  <c:v>38</c:v>
                </c:pt>
              </c:numCache>
            </c:numRef>
          </c:val>
        </c:ser>
        <c:ser>
          <c:idx val="2"/>
          <c:order val="2"/>
          <c:tx>
            <c:strRef>
              <c:f>'CSG '!$A$13</c:f>
              <c:strCache>
                <c:ptCount val="1"/>
                <c:pt idx="0">
                  <c:v>Pas d'alignement </c:v>
                </c:pt>
              </c:strCache>
            </c:strRef>
          </c:tx>
          <c:spPr>
            <a:solidFill>
              <a:srgbClr val="DC1F27"/>
            </a:solidFill>
          </c:spPr>
          <c:invertIfNegative val="0"/>
          <c:dLbls>
            <c:txPr>
              <a:bodyPr/>
              <a:lstStyle/>
              <a:p>
                <a:pPr>
                  <a:defRPr b="1">
                    <a:solidFill>
                      <a:schemeClr val="bg1"/>
                    </a:solidFill>
                  </a:defRPr>
                </a:pPr>
                <a:endParaRPr lang="fr-FR"/>
              </a:p>
            </c:txPr>
            <c:showLegendKey val="0"/>
            <c:showVal val="1"/>
            <c:showCatName val="0"/>
            <c:showSerName val="0"/>
            <c:showPercent val="0"/>
            <c:showBubbleSize val="0"/>
            <c:showLeaderLines val="0"/>
          </c:dLbls>
          <c:cat>
            <c:strRef>
              <c:f>'CSG '!$B$10</c:f>
              <c:strCache>
                <c:ptCount val="1"/>
                <c:pt idx="0">
                  <c:v>Ensemble des Français</c:v>
                </c:pt>
              </c:strCache>
            </c:strRef>
          </c:cat>
          <c:val>
            <c:numRef>
              <c:f>'CSG '!$B$13</c:f>
              <c:numCache>
                <c:formatCode>General</c:formatCode>
                <c:ptCount val="1"/>
                <c:pt idx="0">
                  <c:v>49</c:v>
                </c:pt>
              </c:numCache>
            </c:numRef>
          </c:val>
        </c:ser>
        <c:dLbls>
          <c:showLegendKey val="0"/>
          <c:showVal val="1"/>
          <c:showCatName val="0"/>
          <c:showSerName val="0"/>
          <c:showPercent val="0"/>
          <c:showBubbleSize val="0"/>
        </c:dLbls>
        <c:gapWidth val="100"/>
        <c:gapDepth val="50"/>
        <c:shape val="cylinder"/>
        <c:axId val="222197248"/>
        <c:axId val="223010816"/>
        <c:axId val="0"/>
      </c:bar3DChart>
      <c:catAx>
        <c:axId val="222197248"/>
        <c:scaling>
          <c:orientation val="minMax"/>
        </c:scaling>
        <c:delete val="0"/>
        <c:axPos val="b"/>
        <c:majorTickMark val="none"/>
        <c:minorTickMark val="none"/>
        <c:tickLblPos val="nextTo"/>
        <c:txPr>
          <a:bodyPr/>
          <a:lstStyle/>
          <a:p>
            <a:pPr>
              <a:defRPr b="0" cap="small" baseline="0"/>
            </a:pPr>
            <a:endParaRPr lang="fr-FR"/>
          </a:p>
        </c:txPr>
        <c:crossAx val="223010816"/>
        <c:crosses val="autoZero"/>
        <c:auto val="1"/>
        <c:lblAlgn val="ctr"/>
        <c:lblOffset val="100"/>
        <c:noMultiLvlLbl val="0"/>
      </c:catAx>
      <c:valAx>
        <c:axId val="223010816"/>
        <c:scaling>
          <c:orientation val="minMax"/>
        </c:scaling>
        <c:delete val="1"/>
        <c:axPos val="l"/>
        <c:numFmt formatCode="General" sourceLinked="1"/>
        <c:majorTickMark val="out"/>
        <c:minorTickMark val="none"/>
        <c:tickLblPos val="nextTo"/>
        <c:crossAx val="222197248"/>
        <c:crosses val="autoZero"/>
        <c:crossBetween val="between"/>
      </c:valAx>
    </c:plotArea>
    <c:legend>
      <c:legendPos val="t"/>
      <c:overlay val="0"/>
      <c:txPr>
        <a:bodyPr/>
        <a:lstStyle/>
        <a:p>
          <a:pPr>
            <a:defRPr cap="small" baseline="0"/>
          </a:pPr>
          <a:endParaRPr lang="fr-F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cap="small" baseline="0"/>
            </a:pPr>
            <a:r>
              <a:rPr lang="fr-FR" sz="1200" cap="small" baseline="0"/>
              <a:t>l'attitude à l'égard d'un alignement des taux de csg </a:t>
            </a:r>
          </a:p>
          <a:p>
            <a:pPr>
              <a:defRPr cap="small" baseline="0"/>
            </a:pPr>
            <a:r>
              <a:rPr lang="fr-FR" sz="1200" cap="small" baseline="0"/>
              <a:t>des retraités sur celui des actifs (en %)</a:t>
            </a:r>
          </a:p>
        </c:rich>
      </c:tx>
      <c:layout>
        <c:manualLayout>
          <c:xMode val="edge"/>
          <c:yMode val="edge"/>
          <c:x val="0.1730424426694748"/>
          <c:y val="4.060422504065768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'CSG '!$B$26</c:f>
              <c:strCache>
                <c:ptCount val="1"/>
                <c:pt idx="0">
                  <c:v>Actifs</c:v>
                </c:pt>
              </c:strCache>
            </c:strRef>
          </c:tx>
          <c:spPr>
            <a:solidFill>
              <a:srgbClr val="00B6BC"/>
            </a:solidFill>
          </c:spPr>
          <c:invertIfNegative val="0"/>
          <c:dLbls>
            <c:dLbl>
              <c:idx val="0"/>
              <c:layout>
                <c:manualLayout>
                  <c:x val="2.0227354352580468E-17"/>
                  <c:y val="7.063152368325043E-2"/>
                </c:manualLayout>
              </c:layout>
              <c:spPr/>
              <c:txPr>
                <a:bodyPr/>
                <a:lstStyle/>
                <a:p>
                  <a:pPr>
                    <a:defRPr b="1">
                      <a:solidFill>
                        <a:schemeClr val="bg1"/>
                      </a:solidFill>
                    </a:defRPr>
                  </a:pPr>
                  <a:endParaRPr lang="fr-FR"/>
                </a:p>
              </c:txPr>
              <c:showLegendKey val="0"/>
              <c:showVal val="1"/>
              <c:showCatName val="0"/>
              <c:showSerName val="0"/>
              <c:showPercent val="0"/>
              <c:showBubbleSize val="0"/>
            </c:dLbl>
            <c:dLbl>
              <c:idx val="1"/>
              <c:layout>
                <c:manualLayout>
                  <c:x val="4.413291931789967E-3"/>
                  <c:y val="8.8289404604063038E-2"/>
                </c:manualLayout>
              </c:layout>
              <c:spPr>
                <a:ln>
                  <a:noFill/>
                </a:ln>
              </c:spPr>
              <c:txPr>
                <a:bodyPr/>
                <a:lstStyle/>
                <a:p>
                  <a:pPr>
                    <a:defRPr b="1">
                      <a:solidFill>
                        <a:schemeClr val="bg1"/>
                      </a:solidFill>
                    </a:defRPr>
                  </a:pPr>
                  <a:endParaRPr lang="fr-FR"/>
                </a:p>
              </c:txPr>
              <c:showLegendKey val="0"/>
              <c:showVal val="1"/>
              <c:showCatName val="0"/>
              <c:showSerName val="0"/>
              <c:showPercent val="0"/>
              <c:showBubbleSize val="0"/>
            </c:dLbl>
            <c:dLbl>
              <c:idx val="2"/>
              <c:layout>
                <c:manualLayout>
                  <c:x val="2.2066459658949024E-3"/>
                  <c:y val="9.8884133156550605E-2"/>
                </c:manualLayout>
              </c:layout>
              <c:spPr/>
              <c:txPr>
                <a:bodyPr/>
                <a:lstStyle/>
                <a:p>
                  <a:pPr>
                    <a:defRPr b="1">
                      <a:solidFill>
                        <a:schemeClr val="bg1"/>
                      </a:solidFill>
                    </a:defRPr>
                  </a:pPr>
                  <a:endParaRPr lang="fr-FR"/>
                </a:p>
              </c:txPr>
              <c:showLegendKey val="0"/>
              <c:showVal val="1"/>
              <c:showCatName val="0"/>
              <c:showSerName val="0"/>
              <c:showPercent val="0"/>
              <c:showBubbleSize val="0"/>
            </c:dLbl>
            <c:txPr>
              <a:bodyPr/>
              <a:lstStyle/>
              <a:p>
                <a:pPr>
                  <a:defRPr b="1">
                    <a:solidFill>
                      <a:sysClr val="windowText" lastClr="000000"/>
                    </a:solidFill>
                  </a:defRPr>
                </a:pPr>
                <a:endParaRPr lang="fr-FR"/>
              </a:p>
            </c:txPr>
            <c:showLegendKey val="0"/>
            <c:showVal val="1"/>
            <c:showCatName val="0"/>
            <c:showSerName val="0"/>
            <c:showPercent val="0"/>
            <c:showBubbleSize val="0"/>
            <c:showLeaderLines val="0"/>
          </c:dLbls>
          <c:cat>
            <c:strRef>
              <c:f>'CSG '!$A$27:$A$29</c:f>
              <c:strCache>
                <c:ptCount val="3"/>
                <c:pt idx="0">
                  <c:v>Doit être aligné sur le taux payés par les actifs</c:v>
                </c:pt>
                <c:pt idx="1">
                  <c:v>Doit être sur le taux payé par les actifs uniquement pour les retraites supérieures au salaire moyen</c:v>
                </c:pt>
                <c:pt idx="2">
                  <c:v>Ne doit pas être aligné sur le taux des actifs</c:v>
                </c:pt>
              </c:strCache>
            </c:strRef>
          </c:cat>
          <c:val>
            <c:numRef>
              <c:f>'CSG '!$B$27:$B$29</c:f>
              <c:numCache>
                <c:formatCode>General</c:formatCode>
                <c:ptCount val="3"/>
                <c:pt idx="0">
                  <c:v>15</c:v>
                </c:pt>
                <c:pt idx="1">
                  <c:v>42</c:v>
                </c:pt>
                <c:pt idx="2">
                  <c:v>43</c:v>
                </c:pt>
              </c:numCache>
            </c:numRef>
          </c:val>
        </c:ser>
        <c:ser>
          <c:idx val="1"/>
          <c:order val="1"/>
          <c:tx>
            <c:strRef>
              <c:f>'CSG '!$C$26</c:f>
              <c:strCache>
                <c:ptCount val="1"/>
                <c:pt idx="0">
                  <c:v>Retraités</c:v>
                </c:pt>
              </c:strCache>
            </c:strRef>
          </c:tx>
          <c:spPr>
            <a:solidFill>
              <a:srgbClr val="1C5484"/>
            </a:solidFill>
          </c:spPr>
          <c:invertIfNegative val="0"/>
          <c:dLbls>
            <c:dLbl>
              <c:idx val="0"/>
              <c:layout>
                <c:manualLayout>
                  <c:x val="0"/>
                  <c:y val="2.1189457104975128E-2"/>
                </c:manualLayout>
              </c:layout>
              <c:showLegendKey val="0"/>
              <c:showVal val="1"/>
              <c:showCatName val="0"/>
              <c:showSerName val="0"/>
              <c:showPercent val="0"/>
              <c:showBubbleSize val="0"/>
            </c:dLbl>
            <c:dLbl>
              <c:idx val="1"/>
              <c:layout>
                <c:manualLayout>
                  <c:x val="6.61993789768495E-3"/>
                  <c:y val="7.769467605157547E-2"/>
                </c:manualLayout>
              </c:layout>
              <c:showLegendKey val="0"/>
              <c:showVal val="1"/>
              <c:showCatName val="0"/>
              <c:showSerName val="0"/>
              <c:showPercent val="0"/>
              <c:showBubbleSize val="0"/>
            </c:dLbl>
            <c:dLbl>
              <c:idx val="2"/>
              <c:layout>
                <c:manualLayout>
                  <c:x val="1.32398757953699E-2"/>
                  <c:y val="0.10241570934071312"/>
                </c:manualLayout>
              </c:layout>
              <c:showLegendKey val="0"/>
              <c:showVal val="1"/>
              <c:showCatName val="0"/>
              <c:showSerName val="0"/>
              <c:showPercent val="0"/>
              <c:showBubbleSize val="0"/>
            </c:dLbl>
            <c:txPr>
              <a:bodyPr/>
              <a:lstStyle/>
              <a:p>
                <a:pPr>
                  <a:defRPr b="1">
                    <a:solidFill>
                      <a:schemeClr val="bg1"/>
                    </a:solidFill>
                  </a:defRPr>
                </a:pPr>
                <a:endParaRPr lang="fr-FR"/>
              </a:p>
            </c:txPr>
            <c:showLegendKey val="0"/>
            <c:showVal val="1"/>
            <c:showCatName val="0"/>
            <c:showSerName val="0"/>
            <c:showPercent val="0"/>
            <c:showBubbleSize val="0"/>
            <c:showLeaderLines val="0"/>
          </c:dLbls>
          <c:cat>
            <c:strRef>
              <c:f>'CSG '!$A$27:$A$29</c:f>
              <c:strCache>
                <c:ptCount val="3"/>
                <c:pt idx="0">
                  <c:v>Doit être aligné sur le taux payés par les actifs</c:v>
                </c:pt>
                <c:pt idx="1">
                  <c:v>Doit être sur le taux payé par les actifs uniquement pour les retraites supérieures au salaire moyen</c:v>
                </c:pt>
                <c:pt idx="2">
                  <c:v>Ne doit pas être aligné sur le taux des actifs</c:v>
                </c:pt>
              </c:strCache>
            </c:strRef>
          </c:cat>
          <c:val>
            <c:numRef>
              <c:f>'CSG '!$C$27:$C$29</c:f>
              <c:numCache>
                <c:formatCode>General</c:formatCode>
                <c:ptCount val="3"/>
                <c:pt idx="0">
                  <c:v>6</c:v>
                </c:pt>
                <c:pt idx="1">
                  <c:v>26</c:v>
                </c:pt>
                <c:pt idx="2">
                  <c:v>68</c:v>
                </c:pt>
              </c:numCache>
            </c:numRef>
          </c:val>
        </c:ser>
        <c:dLbls>
          <c:showLegendKey val="0"/>
          <c:showVal val="1"/>
          <c:showCatName val="0"/>
          <c:showSerName val="0"/>
          <c:showPercent val="0"/>
          <c:showBubbleSize val="0"/>
        </c:dLbls>
        <c:gapWidth val="100"/>
        <c:gapDepth val="50"/>
        <c:shape val="cylinder"/>
        <c:axId val="223394048"/>
        <c:axId val="223614080"/>
        <c:axId val="0"/>
      </c:bar3DChart>
      <c:catAx>
        <c:axId val="223394048"/>
        <c:scaling>
          <c:orientation val="minMax"/>
        </c:scaling>
        <c:delete val="0"/>
        <c:axPos val="b"/>
        <c:majorTickMark val="none"/>
        <c:minorTickMark val="none"/>
        <c:tickLblPos val="nextTo"/>
        <c:txPr>
          <a:bodyPr/>
          <a:lstStyle/>
          <a:p>
            <a:pPr>
              <a:defRPr b="0" cap="small" baseline="0"/>
            </a:pPr>
            <a:endParaRPr lang="fr-FR"/>
          </a:p>
        </c:txPr>
        <c:crossAx val="223614080"/>
        <c:crosses val="autoZero"/>
        <c:auto val="1"/>
        <c:lblAlgn val="ctr"/>
        <c:lblOffset val="100"/>
        <c:noMultiLvlLbl val="0"/>
      </c:catAx>
      <c:valAx>
        <c:axId val="223614080"/>
        <c:scaling>
          <c:orientation val="minMax"/>
        </c:scaling>
        <c:delete val="1"/>
        <c:axPos val="l"/>
        <c:numFmt formatCode="General" sourceLinked="1"/>
        <c:majorTickMark val="none"/>
        <c:minorTickMark val="none"/>
        <c:tickLblPos val="nextTo"/>
        <c:crossAx val="223394048"/>
        <c:crosses val="autoZero"/>
        <c:crossBetween val="between"/>
      </c:valAx>
    </c:plotArea>
    <c:legend>
      <c:legendPos val="t"/>
      <c:layout>
        <c:manualLayout>
          <c:xMode val="edge"/>
          <c:yMode val="edge"/>
          <c:x val="0.30009238375276115"/>
          <c:y val="0.17004068264619154"/>
          <c:w val="0.27608998319995287"/>
          <c:h val="6.3861186253659497E-2"/>
        </c:manualLayout>
      </c:layout>
      <c:overlay val="0"/>
      <c:txPr>
        <a:bodyPr/>
        <a:lstStyle/>
        <a:p>
          <a:pPr>
            <a:defRPr cap="small" baseline="0"/>
          </a:pPr>
          <a:endParaRPr lang="fr-FR"/>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fr-FR" sz="1200" baseline="0"/>
              <a:t>est-il intéressant de placer son épargne dans les placements suivants ?</a:t>
            </a:r>
          </a:p>
          <a:p>
            <a:pPr>
              <a:defRPr sz="1200" baseline="0"/>
            </a:pPr>
            <a:r>
              <a:rPr lang="fr-FR" sz="1200" baseline="0"/>
              <a:t>(en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'intérê desplacements '!$B$8</c:f>
              <c:strCache>
                <c:ptCount val="1"/>
                <c:pt idx="0">
                  <c:v>Intéressant</c:v>
                </c:pt>
              </c:strCache>
            </c:strRef>
          </c:tx>
          <c:spPr>
            <a:solidFill>
              <a:srgbClr val="00B6BC"/>
            </a:solidFill>
          </c:spPr>
          <c:invertIfNegative val="0"/>
          <c:dLbls>
            <c:txPr>
              <a:bodyPr/>
              <a:lstStyle/>
              <a:p>
                <a:pPr>
                  <a:defRPr b="1"/>
                </a:pPr>
                <a:endParaRPr lang="fr-FR"/>
              </a:p>
            </c:txPr>
            <c:showLegendKey val="0"/>
            <c:showVal val="1"/>
            <c:showCatName val="0"/>
            <c:showSerName val="0"/>
            <c:showPercent val="0"/>
            <c:showBubbleSize val="0"/>
            <c:showLeaderLines val="0"/>
          </c:dLbls>
          <c:cat>
            <c:strRef>
              <c:f>'intérê desplacements '!$A$9:$A$13</c:f>
              <c:strCache>
                <c:ptCount val="5"/>
                <c:pt idx="0">
                  <c:v>Investissement immobilier locatif</c:v>
                </c:pt>
                <c:pt idx="1">
                  <c:v>Assurance-vie</c:v>
                </c:pt>
                <c:pt idx="2">
                  <c:v>Actions</c:v>
                </c:pt>
                <c:pt idx="3">
                  <c:v>OPC</c:v>
                </c:pt>
                <c:pt idx="4">
                  <c:v>Livret A </c:v>
                </c:pt>
              </c:strCache>
            </c:strRef>
          </c:cat>
          <c:val>
            <c:numRef>
              <c:f>'intérê desplacements '!$B$9:$B$13</c:f>
              <c:numCache>
                <c:formatCode>General</c:formatCode>
                <c:ptCount val="5"/>
                <c:pt idx="0">
                  <c:v>68</c:v>
                </c:pt>
                <c:pt idx="1">
                  <c:v>59</c:v>
                </c:pt>
                <c:pt idx="2">
                  <c:v>38</c:v>
                </c:pt>
                <c:pt idx="3">
                  <c:v>23</c:v>
                </c:pt>
                <c:pt idx="4">
                  <c:v>22</c:v>
                </c:pt>
              </c:numCache>
            </c:numRef>
          </c:val>
        </c:ser>
        <c:ser>
          <c:idx val="1"/>
          <c:order val="1"/>
          <c:tx>
            <c:strRef>
              <c:f>'intérê desplacements '!$C$8</c:f>
              <c:strCache>
                <c:ptCount val="1"/>
                <c:pt idx="0">
                  <c:v>Pas intéressant</c:v>
                </c:pt>
              </c:strCache>
            </c:strRef>
          </c:tx>
          <c:spPr>
            <a:solidFill>
              <a:srgbClr val="1C5484"/>
            </a:solidFill>
          </c:spPr>
          <c:invertIfNegative val="0"/>
          <c:dLbls>
            <c:txPr>
              <a:bodyPr/>
              <a:lstStyle/>
              <a:p>
                <a:pPr>
                  <a:defRPr b="1"/>
                </a:pPr>
                <a:endParaRPr lang="fr-FR"/>
              </a:p>
            </c:txPr>
            <c:showLegendKey val="0"/>
            <c:showVal val="1"/>
            <c:showCatName val="0"/>
            <c:showSerName val="0"/>
            <c:showPercent val="0"/>
            <c:showBubbleSize val="0"/>
            <c:showLeaderLines val="0"/>
          </c:dLbls>
          <c:cat>
            <c:strRef>
              <c:f>'intérê desplacements '!$A$9:$A$13</c:f>
              <c:strCache>
                <c:ptCount val="5"/>
                <c:pt idx="0">
                  <c:v>Investissement immobilier locatif</c:v>
                </c:pt>
                <c:pt idx="1">
                  <c:v>Assurance-vie</c:v>
                </c:pt>
                <c:pt idx="2">
                  <c:v>Actions</c:v>
                </c:pt>
                <c:pt idx="3">
                  <c:v>OPC</c:v>
                </c:pt>
                <c:pt idx="4">
                  <c:v>Livret A </c:v>
                </c:pt>
              </c:strCache>
            </c:strRef>
          </c:cat>
          <c:val>
            <c:numRef>
              <c:f>'intérê desplacements '!$C$9:$C$13</c:f>
              <c:numCache>
                <c:formatCode>General</c:formatCode>
                <c:ptCount val="5"/>
                <c:pt idx="0">
                  <c:v>32</c:v>
                </c:pt>
                <c:pt idx="1">
                  <c:v>41</c:v>
                </c:pt>
                <c:pt idx="2">
                  <c:v>62</c:v>
                </c:pt>
                <c:pt idx="3">
                  <c:v>77</c:v>
                </c:pt>
                <c:pt idx="4">
                  <c:v>78</c:v>
                </c:pt>
              </c:numCache>
            </c:numRef>
          </c:val>
        </c:ser>
        <c:dLbls>
          <c:showLegendKey val="0"/>
          <c:showVal val="1"/>
          <c:showCatName val="0"/>
          <c:showSerName val="0"/>
          <c:showPercent val="0"/>
          <c:showBubbleSize val="0"/>
        </c:dLbls>
        <c:gapWidth val="100"/>
        <c:gapDepth val="50"/>
        <c:shape val="cylinder"/>
        <c:axId val="224214400"/>
        <c:axId val="233292928"/>
        <c:axId val="0"/>
      </c:bar3DChart>
      <c:catAx>
        <c:axId val="224214400"/>
        <c:scaling>
          <c:orientation val="minMax"/>
        </c:scaling>
        <c:delete val="0"/>
        <c:axPos val="b"/>
        <c:majorTickMark val="none"/>
        <c:minorTickMark val="none"/>
        <c:tickLblPos val="nextTo"/>
        <c:crossAx val="233292928"/>
        <c:crosses val="autoZero"/>
        <c:auto val="1"/>
        <c:lblAlgn val="ctr"/>
        <c:lblOffset val="100"/>
        <c:noMultiLvlLbl val="0"/>
      </c:catAx>
      <c:valAx>
        <c:axId val="233292928"/>
        <c:scaling>
          <c:orientation val="minMax"/>
        </c:scaling>
        <c:delete val="1"/>
        <c:axPos val="l"/>
        <c:numFmt formatCode="General" sourceLinked="1"/>
        <c:majorTickMark val="out"/>
        <c:minorTickMark val="none"/>
        <c:tickLblPos val="nextTo"/>
        <c:crossAx val="224214400"/>
        <c:crosses val="autoZero"/>
        <c:crossBetween val="between"/>
      </c:valAx>
    </c:plotArea>
    <c:legend>
      <c:legendPos val="t"/>
      <c:overlay val="0"/>
    </c:legend>
    <c:plotVisOnly val="1"/>
    <c:dispBlanksAs val="gap"/>
    <c:showDLblsOverMax val="0"/>
  </c:chart>
  <c:txPr>
    <a:bodyPr/>
    <a:lstStyle/>
    <a:p>
      <a:pPr>
        <a:defRPr cap="small" baseline="0"/>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cap="small" baseline="0"/>
            </a:pPr>
            <a:r>
              <a:rPr lang="fr-FR" sz="1200" cap="small" baseline="0"/>
              <a:t>quels sont les placements qui vous paraissent les plus rentables ? (en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'rentabilité plct'!$B$12</c:f>
              <c:strCache>
                <c:ptCount val="1"/>
                <c:pt idx="0">
                  <c:v>total cotation</c:v>
                </c:pt>
              </c:strCache>
            </c:strRef>
          </c:tx>
          <c:spPr>
            <a:solidFill>
              <a:srgbClr val="1C5484"/>
            </a:solidFill>
          </c:spPr>
          <c:invertIfNegative val="0"/>
          <c:dPt>
            <c:idx val="9"/>
            <c:invertIfNegative val="0"/>
            <c:bubble3D val="0"/>
            <c:spPr>
              <a:solidFill>
                <a:srgbClr val="DC1F27"/>
              </a:solidFill>
            </c:spPr>
          </c:dPt>
          <c:dLbls>
            <c:txPr>
              <a:bodyPr/>
              <a:lstStyle/>
              <a:p>
                <a:pPr>
                  <a:defRPr b="1"/>
                </a:pPr>
                <a:endParaRPr lang="fr-FR"/>
              </a:p>
            </c:txPr>
            <c:showLegendKey val="0"/>
            <c:showVal val="1"/>
            <c:showCatName val="0"/>
            <c:showSerName val="0"/>
            <c:showPercent val="0"/>
            <c:showBubbleSize val="0"/>
            <c:showLeaderLines val="0"/>
          </c:dLbls>
          <c:cat>
            <c:strRef>
              <c:f>'rentabilité plct'!$A$13:$A$22</c:f>
              <c:strCache>
                <c:ptCount val="10"/>
                <c:pt idx="0">
                  <c:v>Obligations d'Etat</c:v>
                </c:pt>
                <c:pt idx="1">
                  <c:v>Livret A </c:v>
                </c:pt>
                <c:pt idx="2">
                  <c:v>Crowdfunding</c:v>
                </c:pt>
                <c:pt idx="3">
                  <c:v>Livrets bancaires</c:v>
                </c:pt>
                <c:pt idx="4">
                  <c:v>Obligations d'entreprise</c:v>
                </c:pt>
                <c:pt idx="5">
                  <c:v>Assurance-vie en unités de compte</c:v>
                </c:pt>
                <c:pt idx="6">
                  <c:v>Actions</c:v>
                </c:pt>
                <c:pt idx="7">
                  <c:v>Assurance-vie en fonds euros</c:v>
                </c:pt>
                <c:pt idx="8">
                  <c:v>Investissements immobiliers locatifs</c:v>
                </c:pt>
                <c:pt idx="9">
                  <c:v>Aucun </c:v>
                </c:pt>
              </c:strCache>
            </c:strRef>
          </c:cat>
          <c:val>
            <c:numRef>
              <c:f>'rentabilité plct'!$B$13:$B$22</c:f>
              <c:numCache>
                <c:formatCode>General</c:formatCode>
                <c:ptCount val="10"/>
                <c:pt idx="0">
                  <c:v>5</c:v>
                </c:pt>
                <c:pt idx="1">
                  <c:v>9</c:v>
                </c:pt>
                <c:pt idx="2">
                  <c:v>9</c:v>
                </c:pt>
                <c:pt idx="3">
                  <c:v>9</c:v>
                </c:pt>
                <c:pt idx="4">
                  <c:v>9</c:v>
                </c:pt>
                <c:pt idx="5">
                  <c:v>18</c:v>
                </c:pt>
                <c:pt idx="6">
                  <c:v>23</c:v>
                </c:pt>
                <c:pt idx="7">
                  <c:v>24</c:v>
                </c:pt>
                <c:pt idx="8">
                  <c:v>48</c:v>
                </c:pt>
                <c:pt idx="9">
                  <c:v>29</c:v>
                </c:pt>
              </c:numCache>
            </c:numRef>
          </c:val>
        </c:ser>
        <c:dLbls>
          <c:showLegendKey val="0"/>
          <c:showVal val="0"/>
          <c:showCatName val="0"/>
          <c:showSerName val="0"/>
          <c:showPercent val="0"/>
          <c:showBubbleSize val="0"/>
        </c:dLbls>
        <c:gapWidth val="100"/>
        <c:gapDepth val="50"/>
        <c:shape val="cylinder"/>
        <c:axId val="234207104"/>
        <c:axId val="234221952"/>
        <c:axId val="0"/>
      </c:bar3DChart>
      <c:catAx>
        <c:axId val="234207104"/>
        <c:scaling>
          <c:orientation val="minMax"/>
        </c:scaling>
        <c:delete val="0"/>
        <c:axPos val="b"/>
        <c:majorTickMark val="out"/>
        <c:minorTickMark val="none"/>
        <c:tickLblPos val="nextTo"/>
        <c:txPr>
          <a:bodyPr/>
          <a:lstStyle/>
          <a:p>
            <a:pPr>
              <a:defRPr sz="1000" b="0" cap="small" baseline="0"/>
            </a:pPr>
            <a:endParaRPr lang="fr-FR"/>
          </a:p>
        </c:txPr>
        <c:crossAx val="234221952"/>
        <c:crosses val="autoZero"/>
        <c:auto val="1"/>
        <c:lblAlgn val="ctr"/>
        <c:lblOffset val="100"/>
        <c:noMultiLvlLbl val="0"/>
      </c:catAx>
      <c:valAx>
        <c:axId val="234221952"/>
        <c:scaling>
          <c:orientation val="minMax"/>
        </c:scaling>
        <c:delete val="1"/>
        <c:axPos val="l"/>
        <c:numFmt formatCode="General" sourceLinked="1"/>
        <c:majorTickMark val="out"/>
        <c:minorTickMark val="none"/>
        <c:tickLblPos val="nextTo"/>
        <c:crossAx val="23420710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cap="small" baseline="0"/>
            </a:pPr>
            <a:r>
              <a:rPr lang="fr-FR" sz="1200" cap="small" baseline="0"/>
              <a:t>sur quel type de supports souhaitez-vous investir dans le cadre de votre contrat d'assurance-vie  ? (en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'Uc ou fonds euros'!$A$10</c:f>
              <c:strCache>
                <c:ptCount val="1"/>
                <c:pt idx="0">
                  <c:v>Unités de compte </c:v>
                </c:pt>
              </c:strCache>
            </c:strRef>
          </c:tx>
          <c:spPr>
            <a:solidFill>
              <a:srgbClr val="00B6BC"/>
            </a:solidFill>
          </c:spPr>
          <c:invertIfNegative val="0"/>
          <c:dLbls>
            <c:dLbl>
              <c:idx val="0"/>
              <c:layout>
                <c:manualLayout>
                  <c:x val="0"/>
                  <c:y val="9.5149273921412633E-2"/>
                </c:manualLayout>
              </c:layout>
              <c:spPr/>
              <c:txPr>
                <a:bodyPr/>
                <a:lstStyle/>
                <a:p>
                  <a:pPr>
                    <a:defRPr b="1">
                      <a:solidFill>
                        <a:schemeClr val="bg1"/>
                      </a:solidFill>
                    </a:defRPr>
                  </a:pPr>
                  <a:endParaRPr lang="fr-FR"/>
                </a:p>
              </c:txPr>
              <c:showLegendKey val="0"/>
              <c:showVal val="1"/>
              <c:showCatName val="0"/>
              <c:showSerName val="0"/>
              <c:showPercent val="0"/>
              <c:showBubbleSize val="0"/>
            </c:dLbl>
            <c:txPr>
              <a:bodyPr/>
              <a:lstStyle/>
              <a:p>
                <a:pPr>
                  <a:defRPr b="1">
                    <a:solidFill>
                      <a:srgbClr val="FF0000"/>
                    </a:solidFill>
                  </a:defRPr>
                </a:pPr>
                <a:endParaRPr lang="fr-FR"/>
              </a:p>
            </c:txPr>
            <c:showLegendKey val="0"/>
            <c:showVal val="1"/>
            <c:showCatName val="0"/>
            <c:showSerName val="0"/>
            <c:showPercent val="0"/>
            <c:showBubbleSize val="0"/>
            <c:showLeaderLines val="0"/>
          </c:dLbls>
          <c:cat>
            <c:strRef>
              <c:f>'Uc ou fonds euros'!$B$9</c:f>
              <c:strCache>
                <c:ptCount val="1"/>
                <c:pt idx="0">
                  <c:v>Ensemble des Français</c:v>
                </c:pt>
              </c:strCache>
            </c:strRef>
          </c:cat>
          <c:val>
            <c:numRef>
              <c:f>'Uc ou fonds euros'!$B$10</c:f>
              <c:numCache>
                <c:formatCode>General</c:formatCode>
                <c:ptCount val="1"/>
                <c:pt idx="0">
                  <c:v>18</c:v>
                </c:pt>
              </c:numCache>
            </c:numRef>
          </c:val>
        </c:ser>
        <c:ser>
          <c:idx val="1"/>
          <c:order val="1"/>
          <c:tx>
            <c:strRef>
              <c:f>'Uc ou fonds euros'!$A$11</c:f>
              <c:strCache>
                <c:ptCount val="1"/>
                <c:pt idx="0">
                  <c:v>Fonds euros</c:v>
                </c:pt>
              </c:strCache>
            </c:strRef>
          </c:tx>
          <c:spPr>
            <a:solidFill>
              <a:srgbClr val="1C5484"/>
            </a:solidFill>
          </c:spPr>
          <c:invertIfNegative val="0"/>
          <c:dLbls>
            <c:dLbl>
              <c:idx val="0"/>
              <c:layout>
                <c:manualLayout>
                  <c:x val="1.3222222704222174E-2"/>
                  <c:y val="0.1339137929264326"/>
                </c:manualLayout>
              </c:layout>
              <c:showLegendKey val="0"/>
              <c:showVal val="1"/>
              <c:showCatName val="0"/>
              <c:showSerName val="0"/>
              <c:showPercent val="0"/>
              <c:showBubbleSize val="0"/>
            </c:dLbl>
            <c:txPr>
              <a:bodyPr/>
              <a:lstStyle/>
              <a:p>
                <a:pPr>
                  <a:defRPr b="1">
                    <a:solidFill>
                      <a:schemeClr val="bg1"/>
                    </a:solidFill>
                  </a:defRPr>
                </a:pPr>
                <a:endParaRPr lang="fr-FR"/>
              </a:p>
            </c:txPr>
            <c:showLegendKey val="0"/>
            <c:showVal val="1"/>
            <c:showCatName val="0"/>
            <c:showSerName val="0"/>
            <c:showPercent val="0"/>
            <c:showBubbleSize val="0"/>
            <c:showLeaderLines val="0"/>
          </c:dLbls>
          <c:cat>
            <c:strRef>
              <c:f>'Uc ou fonds euros'!$B$9</c:f>
              <c:strCache>
                <c:ptCount val="1"/>
                <c:pt idx="0">
                  <c:v>Ensemble des Français</c:v>
                </c:pt>
              </c:strCache>
            </c:strRef>
          </c:cat>
          <c:val>
            <c:numRef>
              <c:f>'Uc ou fonds euros'!$B$11</c:f>
              <c:numCache>
                <c:formatCode>General</c:formatCode>
                <c:ptCount val="1"/>
                <c:pt idx="0">
                  <c:v>41</c:v>
                </c:pt>
              </c:numCache>
            </c:numRef>
          </c:val>
        </c:ser>
        <c:ser>
          <c:idx val="2"/>
          <c:order val="2"/>
          <c:tx>
            <c:strRef>
              <c:f>'Uc ou fonds euros'!$A$12</c:f>
              <c:strCache>
                <c:ptCount val="1"/>
                <c:pt idx="0">
                  <c:v>Ni l'un ni l'autre</c:v>
                </c:pt>
              </c:strCache>
            </c:strRef>
          </c:tx>
          <c:spPr>
            <a:solidFill>
              <a:srgbClr val="DC1F27"/>
            </a:solidFill>
          </c:spPr>
          <c:invertIfNegative val="0"/>
          <c:dLbls>
            <c:dLbl>
              <c:idx val="0"/>
              <c:layout>
                <c:manualLayout>
                  <c:x val="1.7629630272296234E-2"/>
                  <c:y val="0.12334165137960898"/>
                </c:manualLayout>
              </c:layout>
              <c:showLegendKey val="0"/>
              <c:showVal val="1"/>
              <c:showCatName val="0"/>
              <c:showSerName val="0"/>
              <c:showPercent val="0"/>
              <c:showBubbleSize val="0"/>
            </c:dLbl>
            <c:txPr>
              <a:bodyPr/>
              <a:lstStyle/>
              <a:p>
                <a:pPr>
                  <a:defRPr b="1">
                    <a:solidFill>
                      <a:schemeClr val="bg1"/>
                    </a:solidFill>
                  </a:defRPr>
                </a:pPr>
                <a:endParaRPr lang="fr-FR"/>
              </a:p>
            </c:txPr>
            <c:showLegendKey val="0"/>
            <c:showVal val="1"/>
            <c:showCatName val="0"/>
            <c:showSerName val="0"/>
            <c:showPercent val="0"/>
            <c:showBubbleSize val="0"/>
            <c:showLeaderLines val="0"/>
          </c:dLbls>
          <c:cat>
            <c:strRef>
              <c:f>'Uc ou fonds euros'!$B$9</c:f>
              <c:strCache>
                <c:ptCount val="1"/>
                <c:pt idx="0">
                  <c:v>Ensemble des Français</c:v>
                </c:pt>
              </c:strCache>
            </c:strRef>
          </c:cat>
          <c:val>
            <c:numRef>
              <c:f>'Uc ou fonds euros'!$B$12</c:f>
              <c:numCache>
                <c:formatCode>General</c:formatCode>
                <c:ptCount val="1"/>
                <c:pt idx="0">
                  <c:v>41</c:v>
                </c:pt>
              </c:numCache>
            </c:numRef>
          </c:val>
        </c:ser>
        <c:dLbls>
          <c:showLegendKey val="0"/>
          <c:showVal val="1"/>
          <c:showCatName val="0"/>
          <c:showSerName val="0"/>
          <c:showPercent val="0"/>
          <c:showBubbleSize val="0"/>
        </c:dLbls>
        <c:gapWidth val="150"/>
        <c:shape val="cylinder"/>
        <c:axId val="245834496"/>
        <c:axId val="246448128"/>
        <c:axId val="0"/>
      </c:bar3DChart>
      <c:catAx>
        <c:axId val="245834496"/>
        <c:scaling>
          <c:orientation val="minMax"/>
        </c:scaling>
        <c:delete val="0"/>
        <c:axPos val="b"/>
        <c:majorTickMark val="none"/>
        <c:minorTickMark val="none"/>
        <c:tickLblPos val="nextTo"/>
        <c:txPr>
          <a:bodyPr/>
          <a:lstStyle/>
          <a:p>
            <a:pPr>
              <a:defRPr cap="small" baseline="0"/>
            </a:pPr>
            <a:endParaRPr lang="fr-FR"/>
          </a:p>
        </c:txPr>
        <c:crossAx val="246448128"/>
        <c:crosses val="autoZero"/>
        <c:auto val="1"/>
        <c:lblAlgn val="ctr"/>
        <c:lblOffset val="100"/>
        <c:noMultiLvlLbl val="0"/>
      </c:catAx>
      <c:valAx>
        <c:axId val="246448128"/>
        <c:scaling>
          <c:orientation val="minMax"/>
        </c:scaling>
        <c:delete val="1"/>
        <c:axPos val="l"/>
        <c:numFmt formatCode="General" sourceLinked="1"/>
        <c:majorTickMark val="none"/>
        <c:minorTickMark val="none"/>
        <c:tickLblPos val="nextTo"/>
        <c:crossAx val="245834496"/>
        <c:crosses val="autoZero"/>
        <c:crossBetween val="between"/>
      </c:valAx>
    </c:plotArea>
    <c:legend>
      <c:legendPos val="t"/>
      <c:overlay val="0"/>
      <c:txPr>
        <a:bodyPr/>
        <a:lstStyle/>
        <a:p>
          <a:pPr>
            <a:defRPr cap="small" baseline="0"/>
          </a:pPr>
          <a:endParaRPr lang="fr-FR"/>
        </a:p>
      </c:txPr>
    </c:legend>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A0842-AF97-4D93-930F-6A0612DE0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Pages>
  <Words>524</Words>
  <Characters>2883</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AG2RLM</Company>
  <LinksUpToDate>false</LinksUpToDate>
  <CharactersWithSpaces>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Crevel</dc:creator>
  <cp:lastModifiedBy>LE GOUEZ Sarah </cp:lastModifiedBy>
  <cp:revision>3</cp:revision>
  <cp:lastPrinted>2017-03-17T15:11:00Z</cp:lastPrinted>
  <dcterms:created xsi:type="dcterms:W3CDTF">2017-03-16T14:55:00Z</dcterms:created>
  <dcterms:modified xsi:type="dcterms:W3CDTF">2017-03-17T15:26:00Z</dcterms:modified>
</cp:coreProperties>
</file>