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8CF" w:rsidRDefault="005948CF" w:rsidP="00B43927">
      <w:pPr>
        <w:jc w:val="center"/>
        <w:rPr>
          <w:b/>
          <w:color w:val="E71C23"/>
          <w:sz w:val="36"/>
        </w:rPr>
      </w:pPr>
    </w:p>
    <w:p w:rsidR="008441E3" w:rsidRPr="0017542E" w:rsidRDefault="00B43927" w:rsidP="00B43927">
      <w:pPr>
        <w:jc w:val="center"/>
        <w:rPr>
          <w:b/>
          <w:color w:val="E71C23"/>
          <w:sz w:val="36"/>
        </w:rPr>
      </w:pPr>
      <w:r w:rsidRPr="0017542E">
        <w:rPr>
          <w:b/>
          <w:color w:val="E71C23"/>
          <w:sz w:val="36"/>
        </w:rPr>
        <w:t>INFOGRAPHIE</w:t>
      </w:r>
    </w:p>
    <w:p w:rsidR="00B75B42" w:rsidRPr="0017542E" w:rsidRDefault="00B75B42" w:rsidP="00B43927">
      <w:pPr>
        <w:jc w:val="center"/>
        <w:rPr>
          <w:b/>
          <w:color w:val="E71C23"/>
          <w:sz w:val="36"/>
        </w:rPr>
      </w:pPr>
    </w:p>
    <w:p w:rsidR="00B43927" w:rsidRPr="0017542E" w:rsidRDefault="00B43927" w:rsidP="00B75B42">
      <w:pPr>
        <w:pBdr>
          <w:bottom w:val="single" w:sz="4" w:space="1" w:color="auto"/>
        </w:pBdr>
        <w:jc w:val="center"/>
        <w:rPr>
          <w:b/>
          <w:color w:val="E71C23"/>
          <w:sz w:val="36"/>
        </w:rPr>
      </w:pPr>
      <w:r w:rsidRPr="0017542E">
        <w:rPr>
          <w:b/>
          <w:color w:val="E71C23"/>
          <w:sz w:val="36"/>
        </w:rPr>
        <w:t xml:space="preserve">ENQUÊTE </w:t>
      </w:r>
      <w:r w:rsidR="00B75B42" w:rsidRPr="0017542E">
        <w:rPr>
          <w:b/>
          <w:color w:val="E71C23"/>
          <w:sz w:val="36"/>
        </w:rPr>
        <w:t xml:space="preserve">2016 </w:t>
      </w:r>
      <w:r w:rsidR="005948CF">
        <w:rPr>
          <w:b/>
          <w:color w:val="E71C23"/>
          <w:sz w:val="36"/>
        </w:rPr>
        <w:t>DU CERCLE DE L’É</w:t>
      </w:r>
      <w:r w:rsidRPr="0017542E">
        <w:rPr>
          <w:b/>
          <w:color w:val="E71C23"/>
          <w:sz w:val="36"/>
        </w:rPr>
        <w:t xml:space="preserve">PARGNE </w:t>
      </w:r>
    </w:p>
    <w:p w:rsidR="00B75B42" w:rsidRPr="0017542E" w:rsidRDefault="00B75B42" w:rsidP="00B75B42">
      <w:pPr>
        <w:pBdr>
          <w:bottom w:val="single" w:sz="4" w:space="1" w:color="auto"/>
        </w:pBdr>
        <w:jc w:val="center"/>
        <w:rPr>
          <w:b/>
          <w:sz w:val="28"/>
        </w:rPr>
      </w:pPr>
    </w:p>
    <w:p w:rsidR="00B43927" w:rsidRPr="0017542E" w:rsidRDefault="00B43927"/>
    <w:p w:rsidR="0084085F" w:rsidRPr="0017542E" w:rsidRDefault="0084085F"/>
    <w:p w:rsidR="0084085F" w:rsidRPr="0017542E" w:rsidRDefault="0084085F"/>
    <w:p w:rsidR="00B43927" w:rsidRPr="0017542E" w:rsidRDefault="00B43927">
      <w:pPr>
        <w:rPr>
          <w:b/>
          <w:i/>
        </w:rPr>
      </w:pPr>
    </w:p>
    <w:p w:rsidR="00B75B42" w:rsidRPr="0017542E" w:rsidRDefault="00B75B42" w:rsidP="00B43927">
      <w:pPr>
        <w:rPr>
          <w:b/>
        </w:rPr>
      </w:pPr>
    </w:p>
    <w:p w:rsidR="00B43927" w:rsidRPr="0017542E" w:rsidRDefault="00B43927" w:rsidP="00B43927">
      <w:pPr>
        <w:rPr>
          <w:rFonts w:cs="Arial"/>
          <w:b/>
          <w:spacing w:val="-2"/>
        </w:rPr>
      </w:pPr>
      <w:r w:rsidRPr="0017542E">
        <w:rPr>
          <w:b/>
        </w:rPr>
        <w:t xml:space="preserve">Les graphiques peuvent être repris en mentionnant leur origine : enquête IFOP-CECOP « les Français, la retraite et l’épargne » réalisée pour le </w:t>
      </w:r>
      <w:r w:rsidRPr="0017542E">
        <w:rPr>
          <w:rFonts w:cs="Arial"/>
          <w:b/>
          <w:spacing w:val="-2"/>
        </w:rPr>
        <w:t>Cercle de l’Épargne.</w:t>
      </w:r>
    </w:p>
    <w:p w:rsidR="00B43927" w:rsidRPr="0017542E" w:rsidRDefault="00B43927" w:rsidP="00B43927">
      <w:pPr>
        <w:rPr>
          <w:rFonts w:cs="Arial"/>
          <w:b/>
          <w:spacing w:val="-2"/>
        </w:rPr>
      </w:pPr>
    </w:p>
    <w:p w:rsidR="00B43927" w:rsidRPr="0017542E" w:rsidRDefault="00B43927" w:rsidP="00B43927">
      <w:pPr>
        <w:rPr>
          <w:rFonts w:cs="Arial"/>
          <w:b/>
          <w:spacing w:val="-2"/>
        </w:rPr>
      </w:pPr>
      <w:r w:rsidRPr="0017542E">
        <w:rPr>
          <w:rFonts w:cs="Arial"/>
          <w:b/>
          <w:spacing w:val="-2"/>
        </w:rPr>
        <w:t>L’enquête a été réalisée sur Internet du 19 au 22 avril 2016 auprès d’un échantillon de 1 003 personnes représentatif de la population française âgée de 18 ans et plus, constitué d’après la méthode des quotas (sexe, âge, profession de la personne interrogée) après stratification par région et catégorie d’agglomération. Le terrain d’enquête a été confié à l’IFOP.</w:t>
      </w:r>
    </w:p>
    <w:p w:rsidR="005F68DE" w:rsidRPr="0017542E" w:rsidRDefault="005F68DE" w:rsidP="00B43927">
      <w:pPr>
        <w:rPr>
          <w:rFonts w:cs="Arial"/>
          <w:b/>
          <w:spacing w:val="-2"/>
        </w:rPr>
      </w:pPr>
    </w:p>
    <w:p w:rsidR="00B75B42" w:rsidRPr="0017542E" w:rsidRDefault="005F68DE" w:rsidP="00B75B42">
      <w:pPr>
        <w:rPr>
          <w:rFonts w:cs="Arial"/>
          <w:spacing w:val="-2"/>
          <w:u w:val="single"/>
        </w:rPr>
      </w:pPr>
      <w:r w:rsidRPr="0017542E">
        <w:rPr>
          <w:rFonts w:cs="Arial"/>
          <w:b/>
          <w:spacing w:val="-2"/>
        </w:rPr>
        <w:t xml:space="preserve">L’ensemble des résultats de l’enquête sont consultables sur le site : </w:t>
      </w:r>
      <w:hyperlink r:id="rId9" w:history="1">
        <w:r w:rsidR="00B75B42" w:rsidRPr="0017542E">
          <w:rPr>
            <w:rFonts w:cs="Arial"/>
            <w:color w:val="1F5484"/>
            <w:spacing w:val="-2"/>
            <w:u w:val="single"/>
          </w:rPr>
          <w:t>www.cercledelepargne.com</w:t>
        </w:r>
      </w:hyperlink>
    </w:p>
    <w:p w:rsidR="00B75B42" w:rsidRPr="0017542E" w:rsidRDefault="00B75B42" w:rsidP="00B75B42">
      <w:pPr>
        <w:jc w:val="left"/>
        <w:rPr>
          <w:rFonts w:cs="Arial"/>
          <w:b/>
          <w:spacing w:val="-2"/>
          <w:u w:val="single"/>
        </w:rPr>
      </w:pPr>
    </w:p>
    <w:p w:rsidR="005F68DE" w:rsidRPr="0017542E" w:rsidRDefault="005F68DE" w:rsidP="00B43927">
      <w:pPr>
        <w:rPr>
          <w:rFonts w:cs="Arial"/>
          <w:b/>
          <w:i/>
          <w:spacing w:val="-2"/>
        </w:rPr>
      </w:pPr>
    </w:p>
    <w:p w:rsidR="00FC48E5" w:rsidRPr="0017542E" w:rsidRDefault="005F68DE" w:rsidP="005F68DE">
      <w:pPr>
        <w:jc w:val="left"/>
        <w:rPr>
          <w:rFonts w:cs="Arial"/>
          <w:b/>
          <w:spacing w:val="-2"/>
        </w:rPr>
      </w:pPr>
      <w:r w:rsidRPr="0017542E">
        <w:rPr>
          <w:rFonts w:cs="Arial"/>
          <w:b/>
          <w:spacing w:val="-2"/>
        </w:rPr>
        <w:t xml:space="preserve">Contact presse : </w:t>
      </w:r>
    </w:p>
    <w:p w:rsidR="00FC48E5" w:rsidRPr="0017542E" w:rsidRDefault="005F68DE" w:rsidP="005F68DE">
      <w:pPr>
        <w:jc w:val="left"/>
        <w:rPr>
          <w:rFonts w:eastAsia="Calibri" w:cs="Arial"/>
          <w:spacing w:val="-2"/>
        </w:rPr>
      </w:pPr>
      <w:r w:rsidRPr="0017542E">
        <w:rPr>
          <w:rFonts w:eastAsia="Calibri" w:cs="Arial"/>
          <w:spacing w:val="-2"/>
        </w:rPr>
        <w:t>Sarah Le Gouez</w:t>
      </w:r>
      <w:r w:rsidR="00FC48E5" w:rsidRPr="0017542E">
        <w:rPr>
          <w:rFonts w:eastAsia="Calibri" w:cs="Arial"/>
          <w:spacing w:val="-2"/>
        </w:rPr>
        <w:t> </w:t>
      </w:r>
    </w:p>
    <w:p w:rsidR="005F68DE" w:rsidRPr="0017542E" w:rsidRDefault="005F68DE" w:rsidP="005F68DE">
      <w:pPr>
        <w:jc w:val="left"/>
        <w:rPr>
          <w:rFonts w:eastAsia="Calibri" w:cs="Arial"/>
          <w:spacing w:val="-2"/>
        </w:rPr>
      </w:pPr>
      <w:r w:rsidRPr="0017542E">
        <w:rPr>
          <w:rFonts w:eastAsia="Calibri" w:cs="Arial"/>
          <w:spacing w:val="-2"/>
        </w:rPr>
        <w:t>06 13 90 75 48</w:t>
      </w:r>
    </w:p>
    <w:p w:rsidR="005F68DE" w:rsidRPr="0017542E" w:rsidRDefault="006A39ED" w:rsidP="005F68DE">
      <w:pPr>
        <w:jc w:val="left"/>
        <w:rPr>
          <w:rFonts w:cs="Arial"/>
          <w:color w:val="1F5484"/>
          <w:spacing w:val="-2"/>
          <w:u w:val="single"/>
        </w:rPr>
      </w:pPr>
      <w:hyperlink r:id="rId10" w:history="1">
        <w:r w:rsidR="005F68DE" w:rsidRPr="0017542E">
          <w:rPr>
            <w:rFonts w:cs="Arial"/>
            <w:color w:val="1F5484"/>
            <w:spacing w:val="-2"/>
            <w:u w:val="single"/>
          </w:rPr>
          <w:t>slegouez@cercledelepargne.fr</w:t>
        </w:r>
      </w:hyperlink>
    </w:p>
    <w:p w:rsidR="005F68DE" w:rsidRPr="0017542E" w:rsidRDefault="005F68DE" w:rsidP="00B43927">
      <w:pPr>
        <w:rPr>
          <w:rFonts w:cs="Arial"/>
          <w:b/>
          <w:i/>
          <w:spacing w:val="-2"/>
        </w:rPr>
      </w:pPr>
    </w:p>
    <w:p w:rsidR="00B75B42" w:rsidRPr="0017542E" w:rsidRDefault="00B75B42">
      <w:pPr>
        <w:spacing w:after="160" w:line="259" w:lineRule="auto"/>
        <w:jc w:val="left"/>
      </w:pPr>
      <w:r w:rsidRPr="0017542E">
        <w:br w:type="page"/>
      </w:r>
    </w:p>
    <w:p w:rsidR="00B43927" w:rsidRPr="00810F84" w:rsidRDefault="00B43927" w:rsidP="00810F84">
      <w:pPr>
        <w:pStyle w:val="Paragraphedeliste"/>
        <w:numPr>
          <w:ilvl w:val="0"/>
          <w:numId w:val="1"/>
        </w:numPr>
        <w:pBdr>
          <w:bottom w:val="single" w:sz="4" w:space="1" w:color="auto"/>
        </w:pBdr>
        <w:rPr>
          <w:b/>
          <w:color w:val="E71C23"/>
        </w:rPr>
      </w:pPr>
      <w:r w:rsidRPr="00810F84">
        <w:rPr>
          <w:b/>
          <w:color w:val="E71C23"/>
        </w:rPr>
        <w:lastRenderedPageBreak/>
        <w:t xml:space="preserve">LES FRANÇAIS ET LA RETRAITE </w:t>
      </w:r>
    </w:p>
    <w:p w:rsidR="00B43927" w:rsidRPr="0017542E" w:rsidRDefault="00B43927" w:rsidP="00B43927"/>
    <w:p w:rsidR="00B43927" w:rsidRPr="0017542E" w:rsidRDefault="00B43927" w:rsidP="00B43927">
      <w:pPr>
        <w:jc w:val="center"/>
      </w:pPr>
      <w:r w:rsidRPr="0017542E">
        <w:rPr>
          <w:noProof/>
          <w:shd w:val="clear" w:color="auto" w:fill="E71C23"/>
          <w:lang w:eastAsia="fr-FR"/>
        </w:rPr>
        <w:drawing>
          <wp:inline distT="0" distB="0" distL="0" distR="0" wp14:anchorId="23A1AD1B" wp14:editId="0C7AA819">
            <wp:extent cx="5760000" cy="2520000"/>
            <wp:effectExtent l="0" t="0" r="12700"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3927" w:rsidRPr="0017542E" w:rsidRDefault="00B43927" w:rsidP="00B43927">
      <w:pPr>
        <w:rPr>
          <w:sz w:val="32"/>
        </w:rPr>
      </w:pPr>
    </w:p>
    <w:p w:rsidR="00B43927" w:rsidRPr="0017542E" w:rsidRDefault="00B43927" w:rsidP="00D92C52">
      <w:pPr>
        <w:jc w:val="center"/>
      </w:pPr>
      <w:r w:rsidRPr="0017542E">
        <w:rPr>
          <w:noProof/>
          <w:sz w:val="20"/>
          <w:lang w:eastAsia="fr-FR"/>
        </w:rPr>
        <w:drawing>
          <wp:inline distT="0" distB="0" distL="0" distR="0" wp14:anchorId="3D9FA73E" wp14:editId="30DFD522">
            <wp:extent cx="5760000" cy="2520000"/>
            <wp:effectExtent l="0" t="0" r="12700" b="1397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3927" w:rsidRPr="0017542E" w:rsidRDefault="00B43927" w:rsidP="00B43927">
      <w:pPr>
        <w:jc w:val="center"/>
        <w:rPr>
          <w:sz w:val="32"/>
        </w:rPr>
      </w:pPr>
    </w:p>
    <w:p w:rsidR="00561FBC" w:rsidRDefault="00561FBC" w:rsidP="00B43927">
      <w:pPr>
        <w:jc w:val="center"/>
      </w:pPr>
      <w:r w:rsidRPr="0017542E">
        <w:rPr>
          <w:noProof/>
          <w:lang w:eastAsia="fr-FR"/>
        </w:rPr>
        <w:drawing>
          <wp:inline distT="0" distB="0" distL="0" distR="0" wp14:anchorId="217290A2" wp14:editId="43236813">
            <wp:extent cx="5760000" cy="2520000"/>
            <wp:effectExtent l="0" t="0" r="12700" b="1397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542E" w:rsidRPr="0017542E" w:rsidRDefault="0017542E" w:rsidP="00B43927">
      <w:pPr>
        <w:jc w:val="center"/>
        <w:rPr>
          <w:sz w:val="8"/>
        </w:rPr>
      </w:pPr>
    </w:p>
    <w:p w:rsidR="00B43927" w:rsidRPr="0017542E" w:rsidRDefault="00B43927"/>
    <w:p w:rsidR="00B43927" w:rsidRPr="0017542E" w:rsidRDefault="00B43927" w:rsidP="00B43927">
      <w:pPr>
        <w:jc w:val="center"/>
      </w:pPr>
      <w:r w:rsidRPr="0017542E">
        <w:rPr>
          <w:noProof/>
          <w:lang w:eastAsia="fr-FR"/>
        </w:rPr>
        <w:drawing>
          <wp:inline distT="0" distB="0" distL="0" distR="0" wp14:anchorId="3EF9C6C5" wp14:editId="0F4B36A1">
            <wp:extent cx="5760000" cy="2520000"/>
            <wp:effectExtent l="0" t="0" r="12700" b="139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3927" w:rsidRPr="00810F84" w:rsidRDefault="00B43927" w:rsidP="00B43927">
      <w:pPr>
        <w:jc w:val="center"/>
        <w:rPr>
          <w:sz w:val="32"/>
          <w:szCs w:val="32"/>
        </w:rPr>
      </w:pPr>
    </w:p>
    <w:p w:rsidR="005A14F6" w:rsidRPr="0017542E" w:rsidRDefault="005A14F6" w:rsidP="00810F84">
      <w:r w:rsidRPr="0017542E">
        <w:rPr>
          <w:noProof/>
          <w:color w:val="E71C23"/>
          <w:lang w:eastAsia="fr-FR"/>
        </w:rPr>
        <w:drawing>
          <wp:inline distT="0" distB="0" distL="0" distR="0" wp14:anchorId="44751956" wp14:editId="5B59C052">
            <wp:extent cx="5760000" cy="2520000"/>
            <wp:effectExtent l="0" t="0" r="12700" b="1397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0" w:name="_GoBack"/>
    </w:p>
    <w:bookmarkEnd w:id="0"/>
    <w:p w:rsidR="005A14F6" w:rsidRPr="00810F84" w:rsidRDefault="005A14F6" w:rsidP="00B43927">
      <w:pPr>
        <w:jc w:val="center"/>
        <w:rPr>
          <w:sz w:val="32"/>
          <w:szCs w:val="32"/>
        </w:rPr>
      </w:pPr>
    </w:p>
    <w:p w:rsidR="00B43927" w:rsidRPr="0017542E" w:rsidRDefault="00B43927" w:rsidP="00810F84">
      <w:pPr>
        <w:jc w:val="left"/>
      </w:pPr>
      <w:r w:rsidRPr="00E00F5A">
        <w:rPr>
          <w:noProof/>
          <w:color w:val="E71C23"/>
          <w:lang w:eastAsia="fr-FR"/>
        </w:rPr>
        <w:drawing>
          <wp:inline distT="0" distB="0" distL="0" distR="0" wp14:anchorId="6728FDF0" wp14:editId="2AA2BE73">
            <wp:extent cx="5760000" cy="2520000"/>
            <wp:effectExtent l="0" t="0" r="12700" b="1397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1FBC" w:rsidRPr="0017542E" w:rsidRDefault="00561FBC" w:rsidP="00B43927">
      <w:pPr>
        <w:jc w:val="center"/>
      </w:pPr>
    </w:p>
    <w:p w:rsidR="00561FBC" w:rsidRPr="0017542E" w:rsidRDefault="00561FBC" w:rsidP="00B43927">
      <w:pPr>
        <w:jc w:val="center"/>
      </w:pPr>
      <w:r w:rsidRPr="00810F84">
        <w:rPr>
          <w:noProof/>
          <w:color w:val="FF0000"/>
          <w:lang w:eastAsia="fr-FR"/>
        </w:rPr>
        <w:drawing>
          <wp:inline distT="0" distB="0" distL="0" distR="0" wp14:anchorId="39038756" wp14:editId="576BC708">
            <wp:extent cx="5760000" cy="2520000"/>
            <wp:effectExtent l="0" t="0" r="12700" b="1397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085F" w:rsidRPr="0017542E" w:rsidRDefault="0084085F" w:rsidP="00B43927">
      <w:pPr>
        <w:jc w:val="center"/>
      </w:pPr>
    </w:p>
    <w:p w:rsidR="00561FBC" w:rsidRPr="0017542E" w:rsidRDefault="00561FBC" w:rsidP="00B43927">
      <w:pPr>
        <w:jc w:val="center"/>
      </w:pPr>
      <w:r w:rsidRPr="00810F84">
        <w:rPr>
          <w:noProof/>
          <w:color w:val="E71C23"/>
          <w:lang w:eastAsia="fr-FR"/>
        </w:rPr>
        <w:drawing>
          <wp:inline distT="0" distB="0" distL="0" distR="0" wp14:anchorId="26BD29D4" wp14:editId="41FA73BF">
            <wp:extent cx="5760000" cy="2520000"/>
            <wp:effectExtent l="0" t="0" r="12700" b="1397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1FBC" w:rsidRPr="0017542E" w:rsidRDefault="00561FBC" w:rsidP="00B43927">
      <w:pPr>
        <w:jc w:val="center"/>
      </w:pPr>
    </w:p>
    <w:p w:rsidR="00561FBC" w:rsidRPr="0017542E" w:rsidRDefault="00561FBC" w:rsidP="005A14F6"/>
    <w:p w:rsidR="00561FBC" w:rsidRPr="00810F84" w:rsidRDefault="00811157" w:rsidP="00810F84">
      <w:pPr>
        <w:pStyle w:val="Paragraphedeliste"/>
        <w:numPr>
          <w:ilvl w:val="0"/>
          <w:numId w:val="1"/>
        </w:numPr>
        <w:pBdr>
          <w:bottom w:val="single" w:sz="4" w:space="1" w:color="auto"/>
        </w:pBdr>
        <w:rPr>
          <w:b/>
          <w:color w:val="E71C23"/>
        </w:rPr>
      </w:pPr>
      <w:r w:rsidRPr="00810F84">
        <w:rPr>
          <w:b/>
          <w:color w:val="E71C23"/>
        </w:rPr>
        <w:t>LES FRANÇAIS ET L’</w:t>
      </w:r>
      <w:r w:rsidR="00B43710">
        <w:rPr>
          <w:b/>
          <w:color w:val="E71C23"/>
        </w:rPr>
        <w:t>É</w:t>
      </w:r>
      <w:r w:rsidRPr="00810F84">
        <w:rPr>
          <w:b/>
          <w:color w:val="E71C23"/>
        </w:rPr>
        <w:t xml:space="preserve">PARGNE </w:t>
      </w:r>
    </w:p>
    <w:p w:rsidR="00811157" w:rsidRPr="0017542E" w:rsidRDefault="00811157" w:rsidP="00811157"/>
    <w:p w:rsidR="00561FBC" w:rsidRPr="0017542E" w:rsidRDefault="00811157" w:rsidP="00811157">
      <w:pPr>
        <w:jc w:val="center"/>
      </w:pPr>
      <w:r w:rsidRPr="0017542E">
        <w:rPr>
          <w:noProof/>
          <w:lang w:eastAsia="fr-FR"/>
        </w:rPr>
        <w:drawing>
          <wp:inline distT="0" distB="0" distL="0" distR="0" wp14:anchorId="011F342C" wp14:editId="252136CE">
            <wp:extent cx="5760000" cy="2520000"/>
            <wp:effectExtent l="0" t="0" r="12700" b="1397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1157" w:rsidRPr="0017542E" w:rsidRDefault="00811157" w:rsidP="00811157">
      <w:pPr>
        <w:jc w:val="center"/>
      </w:pPr>
    </w:p>
    <w:p w:rsidR="00561FBC" w:rsidRDefault="00811157" w:rsidP="00811157">
      <w:pPr>
        <w:jc w:val="center"/>
      </w:pPr>
      <w:r w:rsidRPr="0017542E">
        <w:rPr>
          <w:noProof/>
          <w:lang w:eastAsia="fr-FR"/>
        </w:rPr>
        <w:drawing>
          <wp:inline distT="0" distB="0" distL="0" distR="0" wp14:anchorId="2D0F7873" wp14:editId="458CB123">
            <wp:extent cx="5761607" cy="2520000"/>
            <wp:effectExtent l="0" t="0" r="10795" b="1397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0F5A" w:rsidRPr="00E00F5A" w:rsidRDefault="00E00F5A" w:rsidP="00811157">
      <w:pPr>
        <w:jc w:val="center"/>
        <w:rPr>
          <w:sz w:val="32"/>
        </w:rPr>
      </w:pPr>
    </w:p>
    <w:p w:rsidR="00811157" w:rsidRPr="0017542E" w:rsidRDefault="00811157" w:rsidP="00811157">
      <w:pPr>
        <w:jc w:val="center"/>
      </w:pPr>
      <w:r w:rsidRPr="00D90D32">
        <w:rPr>
          <w:noProof/>
          <w:shd w:val="clear" w:color="auto" w:fill="1F5484"/>
          <w:lang w:eastAsia="fr-FR"/>
        </w:rPr>
        <w:drawing>
          <wp:inline distT="0" distB="0" distL="0" distR="0" wp14:anchorId="0944FF6D" wp14:editId="3707B704">
            <wp:extent cx="5760000" cy="2520000"/>
            <wp:effectExtent l="0" t="0" r="12700" b="1397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1157" w:rsidRPr="00D90D32" w:rsidRDefault="00811157" w:rsidP="00811157">
      <w:pPr>
        <w:jc w:val="center"/>
        <w:rPr>
          <w:sz w:val="32"/>
        </w:rPr>
      </w:pPr>
    </w:p>
    <w:p w:rsidR="00811157" w:rsidRPr="0017542E" w:rsidRDefault="00811157" w:rsidP="00811157">
      <w:pPr>
        <w:jc w:val="center"/>
      </w:pPr>
      <w:r w:rsidRPr="0017542E">
        <w:rPr>
          <w:noProof/>
          <w:lang w:eastAsia="fr-FR"/>
        </w:rPr>
        <w:drawing>
          <wp:inline distT="0" distB="0" distL="0" distR="0" wp14:anchorId="54FD755D" wp14:editId="1A8C550B">
            <wp:extent cx="5760000" cy="2520000"/>
            <wp:effectExtent l="0" t="0" r="12700"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1157" w:rsidRPr="0017542E" w:rsidRDefault="00811157" w:rsidP="00561FBC"/>
    <w:p w:rsidR="00811157" w:rsidRPr="0017542E" w:rsidRDefault="00811157" w:rsidP="00811157">
      <w:pPr>
        <w:jc w:val="center"/>
      </w:pPr>
      <w:r w:rsidRPr="00E00F5A">
        <w:rPr>
          <w:noProof/>
          <w:color w:val="E71C23"/>
          <w:lang w:eastAsia="fr-FR"/>
        </w:rPr>
        <w:drawing>
          <wp:inline distT="0" distB="0" distL="0" distR="0" wp14:anchorId="73DE444D" wp14:editId="30EF42F9">
            <wp:extent cx="5760000" cy="2880000"/>
            <wp:effectExtent l="0" t="0" r="12700" b="1587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1157" w:rsidRPr="0017542E" w:rsidRDefault="00811157" w:rsidP="00561FBC"/>
    <w:p w:rsidR="00811157" w:rsidRPr="0017542E" w:rsidRDefault="00811157" w:rsidP="00811157">
      <w:pPr>
        <w:jc w:val="center"/>
      </w:pPr>
      <w:r w:rsidRPr="00D90D32">
        <w:rPr>
          <w:noProof/>
          <w:color w:val="C00000"/>
          <w:lang w:eastAsia="fr-FR"/>
        </w:rPr>
        <w:drawing>
          <wp:inline distT="0" distB="0" distL="0" distR="0" wp14:anchorId="5D193909" wp14:editId="2BADF97E">
            <wp:extent cx="5760000" cy="2520000"/>
            <wp:effectExtent l="0" t="0" r="12700" b="1397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811157" w:rsidRPr="0017542E" w:rsidSect="00811157">
      <w:headerReference w:type="default" r:id="rId25"/>
      <w:footerReference w:type="default" r:id="rId26"/>
      <w:pgSz w:w="11906" w:h="16838"/>
      <w:pgMar w:top="1079"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E5A" w:rsidRDefault="00615E5A" w:rsidP="00811157">
      <w:r>
        <w:separator/>
      </w:r>
    </w:p>
  </w:endnote>
  <w:endnote w:type="continuationSeparator" w:id="0">
    <w:p w:rsidR="00615E5A" w:rsidRDefault="00615E5A" w:rsidP="0081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8DE" w:rsidRDefault="005F68DE">
    <w:pPr>
      <w:pStyle w:val="Pieddepage"/>
    </w:pPr>
    <w:r>
      <w:rPr>
        <w:noProof/>
        <w:color w:val="808080" w:themeColor="background1" w:themeShade="80"/>
        <w:lang w:eastAsia="fr-FR"/>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rgbClr val="E71C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5F68DE" w:rsidRPr="00810F84" w:rsidRDefault="005F68DE">
                                <w:pPr>
                                  <w:jc w:val="right"/>
                                  <w:rPr>
                                    <w:sz w:val="20"/>
                                  </w:rPr>
                                </w:pPr>
                                <w:r w:rsidRPr="00810F84">
                                  <w:rPr>
                                    <w:sz w:val="20"/>
                                  </w:rPr>
                                  <w:t>Cercle de l’</w:t>
                                </w:r>
                                <w:r w:rsidR="00B75B42" w:rsidRPr="00810F84">
                                  <w:rPr>
                                    <w:sz w:val="20"/>
                                  </w:rPr>
                                  <w:t>É</w:t>
                                </w:r>
                                <w:r w:rsidRPr="00810F84">
                                  <w:rPr>
                                    <w:sz w:val="20"/>
                                  </w:rPr>
                                  <w:t xml:space="preserve">pargne www.cercledelepargne.com </w:t>
                                </w:r>
                              </w:p>
                            </w:sdtContent>
                          </w:sdt>
                          <w:p w:rsidR="005F68DE" w:rsidRPr="00810F84" w:rsidRDefault="005F68DE">
                            <w:pPr>
                              <w:jc w:val="right"/>
                              <w:rPr>
                                <w:sz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37" o:spid="_x0000_s1026"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HsMA&#10;AADbAAAADwAAAGRycy9kb3ducmV2LnhtbERPz2vCMBS+C/sfwht4kZmqMEZnlLEpipexdmzXR/PW&#10;dG1eahNt/e/NQfD48f1ergfbiDN1vnKsYDZNQBAXTldcKvjOt08vIHxA1tg4JgUX8rBePYyWmGrX&#10;8xeds1CKGMI+RQUmhDaV0heGLPqpa4kj9+c6iyHCrpS6wz6G20bOk+RZWqw4Nhhs6d1QUWcnq2Dy&#10;f2zNYZN99Lv8sC9+qnrx+VsrNX4c3l5BBBrCXXxz77WCRRwbv8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HsMAAADbAAAADwAAAAAAAAAAAAAAAACYAgAAZHJzL2Rv&#10;d25yZXYueG1sUEsFBgAAAAAEAAQA9QAAAIgDAAAAAA==&#10;" fillcolor="#e71c2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sz w:val="20"/>
                        </w:rPr>
                        <w:alias w:val="Date "/>
                        <w:tag w:val=""/>
                        <w:id w:val="-1063724354"/>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5F68DE" w:rsidRPr="00810F84" w:rsidRDefault="005F68DE">
                          <w:pPr>
                            <w:jc w:val="right"/>
                            <w:rPr>
                              <w:sz w:val="20"/>
                            </w:rPr>
                          </w:pPr>
                          <w:r w:rsidRPr="00810F84">
                            <w:rPr>
                              <w:sz w:val="20"/>
                            </w:rPr>
                            <w:t>Cercle de l’</w:t>
                          </w:r>
                          <w:r w:rsidR="00B75B42" w:rsidRPr="00810F84">
                            <w:rPr>
                              <w:sz w:val="20"/>
                            </w:rPr>
                            <w:t>É</w:t>
                          </w:r>
                          <w:r w:rsidRPr="00810F84">
                            <w:rPr>
                              <w:sz w:val="20"/>
                            </w:rPr>
                            <w:t xml:space="preserve">pargne www.cercledelepargne.com </w:t>
                          </w:r>
                        </w:p>
                      </w:sdtContent>
                    </w:sdt>
                    <w:p w:rsidR="005F68DE" w:rsidRPr="00810F84" w:rsidRDefault="005F68DE">
                      <w:pPr>
                        <w:jc w:val="right"/>
                        <w:rPr>
                          <w:sz w:val="2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E71C2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68DE" w:rsidRPr="00B75B42" w:rsidRDefault="005F68DE" w:rsidP="00B75B42">
                          <w:pPr>
                            <w:jc w:val="center"/>
                            <w:rPr>
                              <w:color w:val="FFFFFF" w:themeColor="background1"/>
                              <w:sz w:val="18"/>
                              <w:szCs w:val="28"/>
                            </w:rPr>
                          </w:pPr>
                          <w:r w:rsidRPr="00B75B42">
                            <w:rPr>
                              <w:color w:val="FFFFFF" w:themeColor="background1"/>
                              <w:sz w:val="22"/>
                              <w:szCs w:val="28"/>
                            </w:rPr>
                            <w:fldChar w:fldCharType="begin"/>
                          </w:r>
                          <w:r w:rsidRPr="00B75B42">
                            <w:rPr>
                              <w:color w:val="FFFFFF" w:themeColor="background1"/>
                              <w:sz w:val="22"/>
                              <w:szCs w:val="28"/>
                            </w:rPr>
                            <w:instrText>PAGE   \* MERGEFORMAT</w:instrText>
                          </w:r>
                          <w:r w:rsidRPr="00B75B42">
                            <w:rPr>
                              <w:color w:val="FFFFFF" w:themeColor="background1"/>
                              <w:sz w:val="22"/>
                              <w:szCs w:val="28"/>
                            </w:rPr>
                            <w:fldChar w:fldCharType="separate"/>
                          </w:r>
                          <w:r w:rsidR="006A39ED">
                            <w:rPr>
                              <w:noProof/>
                              <w:color w:val="FFFFFF" w:themeColor="background1"/>
                              <w:sz w:val="22"/>
                              <w:szCs w:val="28"/>
                            </w:rPr>
                            <w:t>3</w:t>
                          </w:r>
                          <w:r w:rsidRPr="00B75B42">
                            <w:rPr>
                              <w:color w:val="FFFFFF" w:themeColor="background1"/>
                              <w:sz w:val="22"/>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" fillcolor="#e71c23" stroked="f" strokeweight="3pt">
              <v:textbox>
                <w:txbxContent>
                  <w:p w:rsidR="005F68DE" w:rsidRPr="00B75B42" w:rsidRDefault="005F68DE" w:rsidP="00B75B42">
                    <w:pPr>
                      <w:jc w:val="center"/>
                      <w:rPr>
                        <w:color w:val="FFFFFF" w:themeColor="background1"/>
                        <w:sz w:val="18"/>
                        <w:szCs w:val="28"/>
                      </w:rPr>
                    </w:pPr>
                    <w:r w:rsidRPr="00B75B42">
                      <w:rPr>
                        <w:color w:val="FFFFFF" w:themeColor="background1"/>
                        <w:sz w:val="22"/>
                        <w:szCs w:val="28"/>
                      </w:rPr>
                      <w:fldChar w:fldCharType="begin"/>
                    </w:r>
                    <w:r w:rsidRPr="00B75B42">
                      <w:rPr>
                        <w:color w:val="FFFFFF" w:themeColor="background1"/>
                        <w:sz w:val="22"/>
                        <w:szCs w:val="28"/>
                      </w:rPr>
                      <w:instrText>PAGE   \* MERGEFORMAT</w:instrText>
                    </w:r>
                    <w:r w:rsidRPr="00B75B42">
                      <w:rPr>
                        <w:color w:val="FFFFFF" w:themeColor="background1"/>
                        <w:sz w:val="22"/>
                        <w:szCs w:val="28"/>
                      </w:rPr>
                      <w:fldChar w:fldCharType="separate"/>
                    </w:r>
                    <w:r w:rsidR="006A39ED">
                      <w:rPr>
                        <w:noProof/>
                        <w:color w:val="FFFFFF" w:themeColor="background1"/>
                        <w:sz w:val="22"/>
                        <w:szCs w:val="28"/>
                      </w:rPr>
                      <w:t>3</w:t>
                    </w:r>
                    <w:r w:rsidRPr="00B75B42">
                      <w:rPr>
                        <w:color w:val="FFFFFF" w:themeColor="background1"/>
                        <w:sz w:val="22"/>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E5A" w:rsidRDefault="00615E5A" w:rsidP="00811157">
      <w:r>
        <w:separator/>
      </w:r>
    </w:p>
  </w:footnote>
  <w:footnote w:type="continuationSeparator" w:id="0">
    <w:p w:rsidR="00615E5A" w:rsidRDefault="00615E5A" w:rsidP="00811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157" w:rsidRDefault="00E30125" w:rsidP="00811157">
    <w:pPr>
      <w:pStyle w:val="En-tte"/>
      <w:ind w:left="-851"/>
    </w:pPr>
    <w:r>
      <w:rPr>
        <w:noProof/>
        <w:lang w:eastAsia="fr-FR"/>
      </w:rPr>
      <w:drawing>
        <wp:anchor distT="0" distB="0" distL="114300" distR="114300" simplePos="0" relativeHeight="251661312" behindDoc="1" locked="0" layoutInCell="1" allowOverlap="1" wp14:anchorId="63B53CAF" wp14:editId="3AE5FEE2">
          <wp:simplePos x="0" y="0"/>
          <wp:positionH relativeFrom="column">
            <wp:posOffset>4372610</wp:posOffset>
          </wp:positionH>
          <wp:positionV relativeFrom="paragraph">
            <wp:posOffset>-31750</wp:posOffset>
          </wp:positionV>
          <wp:extent cx="1543050" cy="676275"/>
          <wp:effectExtent l="0" t="0" r="0" b="0"/>
          <wp:wrapTight wrapText="bothSides">
            <wp:wrapPolygon edited="0">
              <wp:start x="1867" y="608"/>
              <wp:lineTo x="0" y="4868"/>
              <wp:lineTo x="0" y="9127"/>
              <wp:lineTo x="267" y="20687"/>
              <wp:lineTo x="20267" y="20687"/>
              <wp:lineTo x="20800" y="15820"/>
              <wp:lineTo x="17600" y="14603"/>
              <wp:lineTo x="4800" y="11561"/>
              <wp:lineTo x="5867" y="9127"/>
              <wp:lineTo x="5333" y="5476"/>
              <wp:lineTo x="3467" y="608"/>
              <wp:lineTo x="1867" y="608"/>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gif"/>
                  <pic:cNvPicPr/>
                </pic:nvPicPr>
                <pic:blipFill>
                  <a:blip r:embed="rId1">
                    <a:extLst>
                      <a:ext uri="{28A0092B-C50C-407E-A947-70E740481C1C}">
                        <a14:useLocalDpi xmlns:a14="http://schemas.microsoft.com/office/drawing/2010/main" val="0"/>
                      </a:ext>
                    </a:extLst>
                  </a:blip>
                  <a:stretch>
                    <a:fillRect/>
                  </a:stretch>
                </pic:blipFill>
                <pic:spPr>
                  <a:xfrm>
                    <a:off x="0" y="0"/>
                    <a:ext cx="1543050" cy="676275"/>
                  </a:xfrm>
                  <a:prstGeom prst="rect">
                    <a:avLst/>
                  </a:prstGeom>
                </pic:spPr>
              </pic:pic>
            </a:graphicData>
          </a:graphic>
          <wp14:sizeRelH relativeFrom="page">
            <wp14:pctWidth>0</wp14:pctWidth>
          </wp14:sizeRelH>
          <wp14:sizeRelV relativeFrom="page">
            <wp14:pctHeight>0</wp14:pctHeight>
          </wp14:sizeRelV>
        </wp:anchor>
      </w:drawing>
    </w:r>
    <w:r w:rsidR="00811157">
      <w:rPr>
        <w:noProof/>
        <w:lang w:eastAsia="fr-FR"/>
      </w:rPr>
      <w:drawing>
        <wp:inline distT="0" distB="0" distL="0" distR="0" wp14:anchorId="3CE6A969" wp14:editId="77FDEE8B">
          <wp:extent cx="2578100" cy="6477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CED NAT.jpg"/>
                  <pic:cNvPicPr/>
                </pic:nvPicPr>
                <pic:blipFill>
                  <a:blip r:embed="rId2">
                    <a:extLst>
                      <a:ext uri="{28A0092B-C50C-407E-A947-70E740481C1C}">
                        <a14:useLocalDpi xmlns:a14="http://schemas.microsoft.com/office/drawing/2010/main" val="0"/>
                      </a:ext>
                    </a:extLst>
                  </a:blip>
                  <a:stretch>
                    <a:fillRect/>
                  </a:stretch>
                </pic:blipFill>
                <pic:spPr>
                  <a:xfrm>
                    <a:off x="0" y="0"/>
                    <a:ext cx="2578100" cy="647700"/>
                  </a:xfrm>
                  <a:prstGeom prst="rect">
                    <a:avLst/>
                  </a:prstGeom>
                </pic:spPr>
              </pic:pic>
            </a:graphicData>
          </a:graphic>
        </wp:inline>
      </w:drawing>
    </w:r>
  </w:p>
  <w:p w:rsidR="00811157" w:rsidRDefault="008111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1E764D"/>
    <w:multiLevelType w:val="hybridMultilevel"/>
    <w:tmpl w:val="643CB8F2"/>
    <w:lvl w:ilvl="0" w:tplc="64B01E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27"/>
    <w:rsid w:val="00003B22"/>
    <w:rsid w:val="0001796B"/>
    <w:rsid w:val="000202DA"/>
    <w:rsid w:val="00020F2A"/>
    <w:rsid w:val="0002162A"/>
    <w:rsid w:val="00025130"/>
    <w:rsid w:val="00025A04"/>
    <w:rsid w:val="00032450"/>
    <w:rsid w:val="0005198A"/>
    <w:rsid w:val="00057597"/>
    <w:rsid w:val="000603B8"/>
    <w:rsid w:val="00064E10"/>
    <w:rsid w:val="00067148"/>
    <w:rsid w:val="00067A80"/>
    <w:rsid w:val="0007617F"/>
    <w:rsid w:val="00080462"/>
    <w:rsid w:val="0008385D"/>
    <w:rsid w:val="000844C9"/>
    <w:rsid w:val="00084F50"/>
    <w:rsid w:val="00092B15"/>
    <w:rsid w:val="00095918"/>
    <w:rsid w:val="000A6A68"/>
    <w:rsid w:val="000B12ED"/>
    <w:rsid w:val="000B3458"/>
    <w:rsid w:val="000B4A7F"/>
    <w:rsid w:val="000C7F32"/>
    <w:rsid w:val="000D1614"/>
    <w:rsid w:val="000D512D"/>
    <w:rsid w:val="000D7E67"/>
    <w:rsid w:val="000E5EA4"/>
    <w:rsid w:val="000F5B49"/>
    <w:rsid w:val="000F5E34"/>
    <w:rsid w:val="00100338"/>
    <w:rsid w:val="0010270A"/>
    <w:rsid w:val="00117B51"/>
    <w:rsid w:val="00117E97"/>
    <w:rsid w:val="00121704"/>
    <w:rsid w:val="001229E8"/>
    <w:rsid w:val="00124B78"/>
    <w:rsid w:val="00131543"/>
    <w:rsid w:val="0013688F"/>
    <w:rsid w:val="001410D5"/>
    <w:rsid w:val="00146667"/>
    <w:rsid w:val="001508A8"/>
    <w:rsid w:val="001631DA"/>
    <w:rsid w:val="00163583"/>
    <w:rsid w:val="0016431A"/>
    <w:rsid w:val="001676E3"/>
    <w:rsid w:val="00172415"/>
    <w:rsid w:val="0017542E"/>
    <w:rsid w:val="00176567"/>
    <w:rsid w:val="0018154A"/>
    <w:rsid w:val="00192D86"/>
    <w:rsid w:val="00194F65"/>
    <w:rsid w:val="001A0C3D"/>
    <w:rsid w:val="001A5D72"/>
    <w:rsid w:val="001A745E"/>
    <w:rsid w:val="001B003C"/>
    <w:rsid w:val="001B3838"/>
    <w:rsid w:val="001B6230"/>
    <w:rsid w:val="001B65A7"/>
    <w:rsid w:val="001C0506"/>
    <w:rsid w:val="001C2D86"/>
    <w:rsid w:val="001C35F5"/>
    <w:rsid w:val="001F62CC"/>
    <w:rsid w:val="001F6F47"/>
    <w:rsid w:val="00212B37"/>
    <w:rsid w:val="00220885"/>
    <w:rsid w:val="0022350A"/>
    <w:rsid w:val="00247A99"/>
    <w:rsid w:val="002612B4"/>
    <w:rsid w:val="00262224"/>
    <w:rsid w:val="00297D08"/>
    <w:rsid w:val="002A56DA"/>
    <w:rsid w:val="002A65D6"/>
    <w:rsid w:val="002B52F3"/>
    <w:rsid w:val="002C78DB"/>
    <w:rsid w:val="002D3616"/>
    <w:rsid w:val="002D5D68"/>
    <w:rsid w:val="002D7CC8"/>
    <w:rsid w:val="002E0509"/>
    <w:rsid w:val="002E289E"/>
    <w:rsid w:val="002E687A"/>
    <w:rsid w:val="002F26E6"/>
    <w:rsid w:val="00301EA0"/>
    <w:rsid w:val="0030716E"/>
    <w:rsid w:val="003148C2"/>
    <w:rsid w:val="00315978"/>
    <w:rsid w:val="00324185"/>
    <w:rsid w:val="00326ACA"/>
    <w:rsid w:val="0033210F"/>
    <w:rsid w:val="003353A7"/>
    <w:rsid w:val="00351686"/>
    <w:rsid w:val="00355571"/>
    <w:rsid w:val="003574A0"/>
    <w:rsid w:val="00360221"/>
    <w:rsid w:val="003646CA"/>
    <w:rsid w:val="00367DE3"/>
    <w:rsid w:val="00392FB0"/>
    <w:rsid w:val="00393F11"/>
    <w:rsid w:val="00397D4E"/>
    <w:rsid w:val="003A23E0"/>
    <w:rsid w:val="003A4870"/>
    <w:rsid w:val="003B73BA"/>
    <w:rsid w:val="003C3C33"/>
    <w:rsid w:val="003C518E"/>
    <w:rsid w:val="003C6905"/>
    <w:rsid w:val="003C7C43"/>
    <w:rsid w:val="003D6D88"/>
    <w:rsid w:val="003F21BF"/>
    <w:rsid w:val="003F6705"/>
    <w:rsid w:val="00401E91"/>
    <w:rsid w:val="00403376"/>
    <w:rsid w:val="004047DB"/>
    <w:rsid w:val="00413942"/>
    <w:rsid w:val="004204FD"/>
    <w:rsid w:val="00425504"/>
    <w:rsid w:val="0042678F"/>
    <w:rsid w:val="00427576"/>
    <w:rsid w:val="004317D3"/>
    <w:rsid w:val="004342CF"/>
    <w:rsid w:val="00434C6F"/>
    <w:rsid w:val="0043785D"/>
    <w:rsid w:val="00452280"/>
    <w:rsid w:val="00457860"/>
    <w:rsid w:val="004613CC"/>
    <w:rsid w:val="00471A5E"/>
    <w:rsid w:val="00472E0E"/>
    <w:rsid w:val="00481F62"/>
    <w:rsid w:val="00483A02"/>
    <w:rsid w:val="00486768"/>
    <w:rsid w:val="00494F46"/>
    <w:rsid w:val="004A0F4B"/>
    <w:rsid w:val="004B15A5"/>
    <w:rsid w:val="004B5350"/>
    <w:rsid w:val="004C4830"/>
    <w:rsid w:val="004D112D"/>
    <w:rsid w:val="004D50D5"/>
    <w:rsid w:val="004E61DD"/>
    <w:rsid w:val="0050104B"/>
    <w:rsid w:val="00504276"/>
    <w:rsid w:val="00516D2A"/>
    <w:rsid w:val="0053286E"/>
    <w:rsid w:val="00534416"/>
    <w:rsid w:val="00542859"/>
    <w:rsid w:val="00543104"/>
    <w:rsid w:val="00560CED"/>
    <w:rsid w:val="00561FBC"/>
    <w:rsid w:val="0056790E"/>
    <w:rsid w:val="00567C1E"/>
    <w:rsid w:val="005813C9"/>
    <w:rsid w:val="005828E1"/>
    <w:rsid w:val="00592B74"/>
    <w:rsid w:val="005948CF"/>
    <w:rsid w:val="005A0086"/>
    <w:rsid w:val="005A14F6"/>
    <w:rsid w:val="005B5D5C"/>
    <w:rsid w:val="005C360C"/>
    <w:rsid w:val="005D1186"/>
    <w:rsid w:val="005D1363"/>
    <w:rsid w:val="005D6142"/>
    <w:rsid w:val="005F68DE"/>
    <w:rsid w:val="00601ECE"/>
    <w:rsid w:val="00612B7B"/>
    <w:rsid w:val="00613C26"/>
    <w:rsid w:val="00614C02"/>
    <w:rsid w:val="00614EA5"/>
    <w:rsid w:val="00615343"/>
    <w:rsid w:val="00615E5A"/>
    <w:rsid w:val="006166C2"/>
    <w:rsid w:val="00632F00"/>
    <w:rsid w:val="0064483D"/>
    <w:rsid w:val="0064569D"/>
    <w:rsid w:val="00651D93"/>
    <w:rsid w:val="0067246B"/>
    <w:rsid w:val="00682688"/>
    <w:rsid w:val="006829FF"/>
    <w:rsid w:val="006842D2"/>
    <w:rsid w:val="006A1889"/>
    <w:rsid w:val="006A39ED"/>
    <w:rsid w:val="006B15A1"/>
    <w:rsid w:val="006C0611"/>
    <w:rsid w:val="006D0537"/>
    <w:rsid w:val="006D51C7"/>
    <w:rsid w:val="006D7EF2"/>
    <w:rsid w:val="006E02CA"/>
    <w:rsid w:val="006E2807"/>
    <w:rsid w:val="00701B19"/>
    <w:rsid w:val="00701BBC"/>
    <w:rsid w:val="00707912"/>
    <w:rsid w:val="00710CCF"/>
    <w:rsid w:val="00722340"/>
    <w:rsid w:val="00731990"/>
    <w:rsid w:val="007322F7"/>
    <w:rsid w:val="00737325"/>
    <w:rsid w:val="00740724"/>
    <w:rsid w:val="007466D4"/>
    <w:rsid w:val="00753E11"/>
    <w:rsid w:val="0075500B"/>
    <w:rsid w:val="00792953"/>
    <w:rsid w:val="00796C00"/>
    <w:rsid w:val="007A4F80"/>
    <w:rsid w:val="007A62E2"/>
    <w:rsid w:val="007A76D4"/>
    <w:rsid w:val="007B52C9"/>
    <w:rsid w:val="007B6CFF"/>
    <w:rsid w:val="007B7D1E"/>
    <w:rsid w:val="007C1F7B"/>
    <w:rsid w:val="007C57EE"/>
    <w:rsid w:val="007C67BE"/>
    <w:rsid w:val="007D0030"/>
    <w:rsid w:val="007D1E7C"/>
    <w:rsid w:val="007D48B3"/>
    <w:rsid w:val="007E1737"/>
    <w:rsid w:val="007E2E60"/>
    <w:rsid w:val="00810F84"/>
    <w:rsid w:val="00811157"/>
    <w:rsid w:val="008224F9"/>
    <w:rsid w:val="008229DF"/>
    <w:rsid w:val="00832CC6"/>
    <w:rsid w:val="00833972"/>
    <w:rsid w:val="008347DC"/>
    <w:rsid w:val="0084085F"/>
    <w:rsid w:val="008441E3"/>
    <w:rsid w:val="00851B4B"/>
    <w:rsid w:val="00855E5C"/>
    <w:rsid w:val="00872C57"/>
    <w:rsid w:val="00872EFA"/>
    <w:rsid w:val="00874688"/>
    <w:rsid w:val="0088606E"/>
    <w:rsid w:val="0089332A"/>
    <w:rsid w:val="0089593D"/>
    <w:rsid w:val="00896D2A"/>
    <w:rsid w:val="008B1EB2"/>
    <w:rsid w:val="008B3ADA"/>
    <w:rsid w:val="008B6C31"/>
    <w:rsid w:val="008C20F7"/>
    <w:rsid w:val="008C38CA"/>
    <w:rsid w:val="008C63A3"/>
    <w:rsid w:val="008D05E6"/>
    <w:rsid w:val="008E24F0"/>
    <w:rsid w:val="008E4257"/>
    <w:rsid w:val="008F3D03"/>
    <w:rsid w:val="008F5DCD"/>
    <w:rsid w:val="0090702E"/>
    <w:rsid w:val="00913620"/>
    <w:rsid w:val="00916636"/>
    <w:rsid w:val="00916EC6"/>
    <w:rsid w:val="0092069E"/>
    <w:rsid w:val="009264CC"/>
    <w:rsid w:val="00934D13"/>
    <w:rsid w:val="00946CFB"/>
    <w:rsid w:val="00950AB2"/>
    <w:rsid w:val="00954A0E"/>
    <w:rsid w:val="009577AC"/>
    <w:rsid w:val="00963A08"/>
    <w:rsid w:val="00987E11"/>
    <w:rsid w:val="0099001D"/>
    <w:rsid w:val="00993BA7"/>
    <w:rsid w:val="009C2949"/>
    <w:rsid w:val="009C6E94"/>
    <w:rsid w:val="009D3D93"/>
    <w:rsid w:val="009D7A94"/>
    <w:rsid w:val="009E7A94"/>
    <w:rsid w:val="009F2617"/>
    <w:rsid w:val="009F27C7"/>
    <w:rsid w:val="009F346A"/>
    <w:rsid w:val="009F37D2"/>
    <w:rsid w:val="009F73C1"/>
    <w:rsid w:val="00A100F6"/>
    <w:rsid w:val="00A11561"/>
    <w:rsid w:val="00A11F81"/>
    <w:rsid w:val="00A16476"/>
    <w:rsid w:val="00A27FF0"/>
    <w:rsid w:val="00A549A7"/>
    <w:rsid w:val="00A578B3"/>
    <w:rsid w:val="00A608DF"/>
    <w:rsid w:val="00A77499"/>
    <w:rsid w:val="00A87207"/>
    <w:rsid w:val="00AA0A63"/>
    <w:rsid w:val="00AA4559"/>
    <w:rsid w:val="00AA7EBC"/>
    <w:rsid w:val="00AE4023"/>
    <w:rsid w:val="00AE41DF"/>
    <w:rsid w:val="00AF473B"/>
    <w:rsid w:val="00B06CD0"/>
    <w:rsid w:val="00B07B06"/>
    <w:rsid w:val="00B15CB6"/>
    <w:rsid w:val="00B205CC"/>
    <w:rsid w:val="00B219CA"/>
    <w:rsid w:val="00B21FBE"/>
    <w:rsid w:val="00B22B6E"/>
    <w:rsid w:val="00B341D5"/>
    <w:rsid w:val="00B43710"/>
    <w:rsid w:val="00B43927"/>
    <w:rsid w:val="00B46C38"/>
    <w:rsid w:val="00B505B4"/>
    <w:rsid w:val="00B51244"/>
    <w:rsid w:val="00B536E4"/>
    <w:rsid w:val="00B56519"/>
    <w:rsid w:val="00B60270"/>
    <w:rsid w:val="00B621C3"/>
    <w:rsid w:val="00B70532"/>
    <w:rsid w:val="00B74669"/>
    <w:rsid w:val="00B75B42"/>
    <w:rsid w:val="00B84746"/>
    <w:rsid w:val="00B9025E"/>
    <w:rsid w:val="00B9281B"/>
    <w:rsid w:val="00B96DA6"/>
    <w:rsid w:val="00B97862"/>
    <w:rsid w:val="00B97EB9"/>
    <w:rsid w:val="00BA3AA7"/>
    <w:rsid w:val="00BA57FE"/>
    <w:rsid w:val="00BB256C"/>
    <w:rsid w:val="00BB7412"/>
    <w:rsid w:val="00BC08FD"/>
    <w:rsid w:val="00BC103C"/>
    <w:rsid w:val="00BC7ABF"/>
    <w:rsid w:val="00BD1BDB"/>
    <w:rsid w:val="00BD3D1C"/>
    <w:rsid w:val="00BD6335"/>
    <w:rsid w:val="00BE6983"/>
    <w:rsid w:val="00BF2918"/>
    <w:rsid w:val="00C038BC"/>
    <w:rsid w:val="00C25C25"/>
    <w:rsid w:val="00C26884"/>
    <w:rsid w:val="00C3011A"/>
    <w:rsid w:val="00C4351D"/>
    <w:rsid w:val="00C4405D"/>
    <w:rsid w:val="00C45178"/>
    <w:rsid w:val="00C46AC0"/>
    <w:rsid w:val="00C47476"/>
    <w:rsid w:val="00C518DE"/>
    <w:rsid w:val="00C52664"/>
    <w:rsid w:val="00C5570D"/>
    <w:rsid w:val="00C60815"/>
    <w:rsid w:val="00C609E5"/>
    <w:rsid w:val="00C668D1"/>
    <w:rsid w:val="00C73F42"/>
    <w:rsid w:val="00C74DB3"/>
    <w:rsid w:val="00C74F23"/>
    <w:rsid w:val="00C853C4"/>
    <w:rsid w:val="00CA0788"/>
    <w:rsid w:val="00CB6611"/>
    <w:rsid w:val="00CC237B"/>
    <w:rsid w:val="00CC4033"/>
    <w:rsid w:val="00CC5718"/>
    <w:rsid w:val="00CD13C4"/>
    <w:rsid w:val="00CD2E72"/>
    <w:rsid w:val="00CD40A5"/>
    <w:rsid w:val="00CD5713"/>
    <w:rsid w:val="00CE2A3E"/>
    <w:rsid w:val="00CE3C99"/>
    <w:rsid w:val="00CF7C87"/>
    <w:rsid w:val="00D00DAA"/>
    <w:rsid w:val="00D04074"/>
    <w:rsid w:val="00D058CE"/>
    <w:rsid w:val="00D145E7"/>
    <w:rsid w:val="00D2079C"/>
    <w:rsid w:val="00D36588"/>
    <w:rsid w:val="00D36FE4"/>
    <w:rsid w:val="00D414AA"/>
    <w:rsid w:val="00D472A3"/>
    <w:rsid w:val="00D57B86"/>
    <w:rsid w:val="00D7000C"/>
    <w:rsid w:val="00D74739"/>
    <w:rsid w:val="00D754B3"/>
    <w:rsid w:val="00D7641A"/>
    <w:rsid w:val="00D77A90"/>
    <w:rsid w:val="00D84A1A"/>
    <w:rsid w:val="00D851FF"/>
    <w:rsid w:val="00D873FC"/>
    <w:rsid w:val="00D90D32"/>
    <w:rsid w:val="00D92C52"/>
    <w:rsid w:val="00D93C1E"/>
    <w:rsid w:val="00D97959"/>
    <w:rsid w:val="00DC72F2"/>
    <w:rsid w:val="00DE182C"/>
    <w:rsid w:val="00DF7188"/>
    <w:rsid w:val="00E00F5A"/>
    <w:rsid w:val="00E21E2A"/>
    <w:rsid w:val="00E30125"/>
    <w:rsid w:val="00E301A3"/>
    <w:rsid w:val="00E30CD3"/>
    <w:rsid w:val="00E30E40"/>
    <w:rsid w:val="00E52187"/>
    <w:rsid w:val="00E60C93"/>
    <w:rsid w:val="00E829EC"/>
    <w:rsid w:val="00E86755"/>
    <w:rsid w:val="00E86C23"/>
    <w:rsid w:val="00E934DD"/>
    <w:rsid w:val="00E95B3F"/>
    <w:rsid w:val="00EA7093"/>
    <w:rsid w:val="00EB02E3"/>
    <w:rsid w:val="00EC2A71"/>
    <w:rsid w:val="00EC6A1E"/>
    <w:rsid w:val="00ED1576"/>
    <w:rsid w:val="00F064C2"/>
    <w:rsid w:val="00F1780C"/>
    <w:rsid w:val="00F35FD4"/>
    <w:rsid w:val="00F46AC8"/>
    <w:rsid w:val="00F50289"/>
    <w:rsid w:val="00F53272"/>
    <w:rsid w:val="00F6480A"/>
    <w:rsid w:val="00F667A0"/>
    <w:rsid w:val="00F83E9D"/>
    <w:rsid w:val="00F85D11"/>
    <w:rsid w:val="00F91268"/>
    <w:rsid w:val="00F92D6A"/>
    <w:rsid w:val="00F93806"/>
    <w:rsid w:val="00FA15F4"/>
    <w:rsid w:val="00FA4683"/>
    <w:rsid w:val="00FA6D63"/>
    <w:rsid w:val="00FB40A5"/>
    <w:rsid w:val="00FB474E"/>
    <w:rsid w:val="00FB5074"/>
    <w:rsid w:val="00FC3CB3"/>
    <w:rsid w:val="00FC48E5"/>
    <w:rsid w:val="00FE1E07"/>
    <w:rsid w:val="00FE1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4EF78A7-93D3-423F-9DA3-57BA6E4B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942"/>
    <w:pPr>
      <w:spacing w:after="0" w:line="240" w:lineRule="auto"/>
      <w:jc w:val="both"/>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43927"/>
    <w:pPr>
      <w:ind w:left="720"/>
      <w:contextualSpacing/>
    </w:pPr>
  </w:style>
  <w:style w:type="paragraph" w:styleId="En-tte">
    <w:name w:val="header"/>
    <w:basedOn w:val="Normal"/>
    <w:link w:val="En-tteCar"/>
    <w:uiPriority w:val="99"/>
    <w:unhideWhenUsed/>
    <w:rsid w:val="00811157"/>
    <w:pPr>
      <w:tabs>
        <w:tab w:val="center" w:pos="4536"/>
        <w:tab w:val="right" w:pos="9072"/>
      </w:tabs>
    </w:pPr>
  </w:style>
  <w:style w:type="character" w:customStyle="1" w:styleId="En-tteCar">
    <w:name w:val="En-tête Car"/>
    <w:basedOn w:val="Policepardfaut"/>
    <w:link w:val="En-tte"/>
    <w:uiPriority w:val="99"/>
    <w:rsid w:val="00811157"/>
    <w:rPr>
      <w:rFonts w:ascii="Arial" w:hAnsi="Arial"/>
      <w:sz w:val="24"/>
    </w:rPr>
  </w:style>
  <w:style w:type="paragraph" w:styleId="Pieddepage">
    <w:name w:val="footer"/>
    <w:basedOn w:val="Normal"/>
    <w:link w:val="PieddepageCar"/>
    <w:uiPriority w:val="99"/>
    <w:unhideWhenUsed/>
    <w:rsid w:val="00811157"/>
    <w:pPr>
      <w:tabs>
        <w:tab w:val="center" w:pos="4536"/>
        <w:tab w:val="right" w:pos="9072"/>
      </w:tabs>
    </w:pPr>
  </w:style>
  <w:style w:type="character" w:customStyle="1" w:styleId="PieddepageCar">
    <w:name w:val="Pied de page Car"/>
    <w:basedOn w:val="Policepardfaut"/>
    <w:link w:val="Pieddepage"/>
    <w:uiPriority w:val="99"/>
    <w:rsid w:val="00811157"/>
    <w:rPr>
      <w:rFonts w:ascii="Arial" w:hAnsi="Arial"/>
      <w:sz w:val="24"/>
    </w:rPr>
  </w:style>
  <w:style w:type="character" w:styleId="Lienhypertexte">
    <w:name w:val="Hyperlink"/>
    <w:basedOn w:val="Policepardfaut"/>
    <w:uiPriority w:val="99"/>
    <w:unhideWhenUsed/>
    <w:rsid w:val="005F68DE"/>
    <w:rPr>
      <w:color w:val="0563C1" w:themeColor="hyperlink"/>
      <w:u w:val="single"/>
    </w:rPr>
  </w:style>
  <w:style w:type="paragraph" w:styleId="Textedebulles">
    <w:name w:val="Balloon Text"/>
    <w:basedOn w:val="Normal"/>
    <w:link w:val="TextedebullesCar"/>
    <w:uiPriority w:val="99"/>
    <w:semiHidden/>
    <w:unhideWhenUsed/>
    <w:rsid w:val="00FC48E5"/>
    <w:rPr>
      <w:rFonts w:ascii="Tahoma" w:hAnsi="Tahoma" w:cs="Tahoma"/>
      <w:sz w:val="16"/>
      <w:szCs w:val="16"/>
    </w:rPr>
  </w:style>
  <w:style w:type="character" w:customStyle="1" w:styleId="TextedebullesCar">
    <w:name w:val="Texte de bulles Car"/>
    <w:basedOn w:val="Policepardfaut"/>
    <w:link w:val="Textedebulles"/>
    <w:uiPriority w:val="99"/>
    <w:semiHidden/>
    <w:rsid w:val="00FC48E5"/>
    <w:rPr>
      <w:rFonts w:ascii="Tahoma" w:hAnsi="Tahoma" w:cs="Tahoma"/>
      <w:sz w:val="16"/>
      <w:szCs w:val="16"/>
    </w:rPr>
  </w:style>
  <w:style w:type="character" w:styleId="Marquedecommentaire">
    <w:name w:val="annotation reference"/>
    <w:basedOn w:val="Policepardfaut"/>
    <w:uiPriority w:val="99"/>
    <w:semiHidden/>
    <w:unhideWhenUsed/>
    <w:rsid w:val="00B219CA"/>
    <w:rPr>
      <w:sz w:val="16"/>
      <w:szCs w:val="16"/>
    </w:rPr>
  </w:style>
  <w:style w:type="paragraph" w:styleId="Commentaire">
    <w:name w:val="annotation text"/>
    <w:basedOn w:val="Normal"/>
    <w:link w:val="CommentaireCar"/>
    <w:uiPriority w:val="99"/>
    <w:semiHidden/>
    <w:unhideWhenUsed/>
    <w:rsid w:val="00B219CA"/>
    <w:rPr>
      <w:sz w:val="20"/>
      <w:szCs w:val="20"/>
    </w:rPr>
  </w:style>
  <w:style w:type="character" w:customStyle="1" w:styleId="CommentaireCar">
    <w:name w:val="Commentaire Car"/>
    <w:basedOn w:val="Policepardfaut"/>
    <w:link w:val="Commentaire"/>
    <w:uiPriority w:val="99"/>
    <w:semiHidden/>
    <w:rsid w:val="00B219CA"/>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219CA"/>
    <w:rPr>
      <w:b/>
      <w:bCs/>
    </w:rPr>
  </w:style>
  <w:style w:type="character" w:customStyle="1" w:styleId="ObjetducommentaireCar">
    <w:name w:val="Objet du commentaire Car"/>
    <w:basedOn w:val="CommentaireCar"/>
    <w:link w:val="Objetducommentaire"/>
    <w:uiPriority w:val="99"/>
    <w:semiHidden/>
    <w:rsid w:val="00B219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hyperlink" Target="mailto:slegouez@cercledelepargne.fr" TargetMode="External"/><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hyperlink" Target="http://www.cercledelepargne.com/"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solidFill>
                  <a:sysClr val="windowText" lastClr="000000"/>
                </a:solidFill>
              </a:rPr>
              <a:t>LA FAILLITE DES RÉGIMES DE RETRAITE </a:t>
            </a:r>
          </a:p>
        </c:rich>
      </c:tx>
      <c:layout/>
      <c:overlay val="0"/>
      <c:spPr>
        <a:noFill/>
        <a:ln>
          <a:noFill/>
        </a:ln>
        <a:effectLst/>
      </c:spPr>
    </c:title>
    <c:autoTitleDeleted val="0"/>
    <c:plotArea>
      <c:layout/>
      <c:barChart>
        <c:barDir val="col"/>
        <c:grouping val="clustered"/>
        <c:varyColors val="0"/>
        <c:ser>
          <c:idx val="0"/>
          <c:order val="0"/>
          <c:tx>
            <c:strRef>
              <c:f>'la faillite'!$B$3:$B$5</c:f>
              <c:strCache>
                <c:ptCount val="1"/>
                <c:pt idx="0">
                  <c:v>Le système de retraite fera-t-il faillite d'ici 10 ans ? oui</c:v>
                </c:pt>
              </c:strCache>
            </c:strRef>
          </c:tx>
          <c:spPr>
            <a:solidFill>
              <a:srgbClr val="1F548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 faillite'!$A$6:$A$8</c:f>
              <c:strCache>
                <c:ptCount val="3"/>
                <c:pt idx="0">
                  <c:v>Le régime général des retraites</c:v>
                </c:pt>
                <c:pt idx="1">
                  <c:v>Les régimes complémentaires</c:v>
                </c:pt>
                <c:pt idx="2">
                  <c:v>Le système de la fonction publique</c:v>
                </c:pt>
              </c:strCache>
            </c:strRef>
          </c:cat>
          <c:val>
            <c:numRef>
              <c:f>'la faillite'!$B$6:$B$8</c:f>
              <c:numCache>
                <c:formatCode>0%</c:formatCode>
                <c:ptCount val="3"/>
                <c:pt idx="0">
                  <c:v>0.72</c:v>
                </c:pt>
                <c:pt idx="1">
                  <c:v>0.74</c:v>
                </c:pt>
                <c:pt idx="2">
                  <c:v>0.54</c:v>
                </c:pt>
              </c:numCache>
            </c:numRef>
          </c:val>
        </c:ser>
        <c:ser>
          <c:idx val="1"/>
          <c:order val="1"/>
          <c:tx>
            <c:strRef>
              <c:f>'la faillite'!$C$3:$C$5</c:f>
              <c:strCache>
                <c:ptCount val="1"/>
                <c:pt idx="0">
                  <c:v>Le système de retraite fera-t-il faillite d'ici 10 ans ? non</c:v>
                </c:pt>
              </c:strCache>
            </c:strRef>
          </c:tx>
          <c:spPr>
            <a:solidFill>
              <a:srgbClr val="E71C2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 faillite'!$A$6:$A$8</c:f>
              <c:strCache>
                <c:ptCount val="3"/>
                <c:pt idx="0">
                  <c:v>Le régime général des retraites</c:v>
                </c:pt>
                <c:pt idx="1">
                  <c:v>Les régimes complémentaires</c:v>
                </c:pt>
                <c:pt idx="2">
                  <c:v>Le système de la fonction publique</c:v>
                </c:pt>
              </c:strCache>
            </c:strRef>
          </c:cat>
          <c:val>
            <c:numRef>
              <c:f>'la faillite'!$C$6:$C$8</c:f>
              <c:numCache>
                <c:formatCode>0%</c:formatCode>
                <c:ptCount val="3"/>
                <c:pt idx="0">
                  <c:v>0.28000000000000003</c:v>
                </c:pt>
                <c:pt idx="1">
                  <c:v>0.26</c:v>
                </c:pt>
                <c:pt idx="2">
                  <c:v>0.46</c:v>
                </c:pt>
              </c:numCache>
            </c:numRef>
          </c:val>
        </c:ser>
        <c:dLbls>
          <c:showLegendKey val="0"/>
          <c:showVal val="0"/>
          <c:showCatName val="0"/>
          <c:showSerName val="0"/>
          <c:showPercent val="0"/>
          <c:showBubbleSize val="0"/>
        </c:dLbls>
        <c:gapWidth val="219"/>
        <c:overlap val="-27"/>
        <c:axId val="383221816"/>
        <c:axId val="383219072"/>
      </c:barChart>
      <c:catAx>
        <c:axId val="38322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383219072"/>
        <c:crosses val="autoZero"/>
        <c:auto val="1"/>
        <c:lblAlgn val="ctr"/>
        <c:lblOffset val="100"/>
        <c:noMultiLvlLbl val="0"/>
      </c:catAx>
      <c:valAx>
        <c:axId val="38321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3221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b="1"/>
              <a:t>EST-IL INTÉRESSANT OU PAS DE PLACER SON ÉPARGNE DANS...</a:t>
            </a:r>
          </a:p>
          <a:p>
            <a:pPr>
              <a:defRPr/>
            </a:pPr>
            <a:r>
              <a:rPr lang="fr-FR" sz="1200" b="1"/>
              <a:t>%</a:t>
            </a:r>
            <a:r>
              <a:rPr lang="fr-FR" sz="1200" b="1" baseline="0"/>
              <a:t> DES FRANÇAIS</a:t>
            </a:r>
            <a:endParaRPr lang="fr-FR" sz="1200" b="1"/>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9280818702143343"/>
          <c:y val="0.22898995017077425"/>
          <c:w val="0.78294510541937345"/>
          <c:h val="0.62044545339090673"/>
        </c:manualLayout>
      </c:layout>
      <c:bar3DChart>
        <c:barDir val="bar"/>
        <c:grouping val="clustered"/>
        <c:varyColors val="0"/>
        <c:ser>
          <c:idx val="1"/>
          <c:order val="0"/>
          <c:tx>
            <c:strRef>
              <c:f>'intérêt plct'!$C$4</c:f>
              <c:strCache>
                <c:ptCount val="1"/>
                <c:pt idx="0">
                  <c:v>Pas intéressant</c:v>
                </c:pt>
              </c:strCache>
            </c:strRef>
          </c:tx>
          <c:spPr>
            <a:solidFill>
              <a:srgbClr val="1F5484"/>
            </a:solidFill>
          </c:spPr>
          <c:invertIfNegative val="0"/>
          <c:dLbls>
            <c:dLbl>
              <c:idx val="3"/>
              <c:layout>
                <c:manualLayout>
                  <c:x val="4.4084922834896579E-3"/>
                  <c:y val="1.64409777020284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084922834896579E-3"/>
                  <c:y val="2.12666788994185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'intérêt plct'!$A$5:$A$9</c:f>
              <c:strCache>
                <c:ptCount val="5"/>
                <c:pt idx="0">
                  <c:v>Livret A</c:v>
                </c:pt>
                <c:pt idx="1">
                  <c:v>SICAV</c:v>
                </c:pt>
                <c:pt idx="2">
                  <c:v>Actions</c:v>
                </c:pt>
                <c:pt idx="3">
                  <c:v>Assurance-vie</c:v>
                </c:pt>
                <c:pt idx="4">
                  <c:v>Immobilier locatif</c:v>
                </c:pt>
              </c:strCache>
            </c:strRef>
          </c:cat>
          <c:val>
            <c:numRef>
              <c:f>'intérêt plct'!$C$5:$C$9</c:f>
              <c:numCache>
                <c:formatCode>General</c:formatCode>
                <c:ptCount val="5"/>
                <c:pt idx="0">
                  <c:v>81</c:v>
                </c:pt>
                <c:pt idx="1">
                  <c:v>81</c:v>
                </c:pt>
                <c:pt idx="2">
                  <c:v>71</c:v>
                </c:pt>
                <c:pt idx="3">
                  <c:v>38</c:v>
                </c:pt>
                <c:pt idx="4">
                  <c:v>35</c:v>
                </c:pt>
              </c:numCache>
            </c:numRef>
          </c:val>
        </c:ser>
        <c:ser>
          <c:idx val="0"/>
          <c:order val="1"/>
          <c:tx>
            <c:strRef>
              <c:f>'intérêt plct'!$B$4</c:f>
              <c:strCache>
                <c:ptCount val="1"/>
                <c:pt idx="0">
                  <c:v>Intéressant</c:v>
                </c:pt>
              </c:strCache>
            </c:strRef>
          </c:tx>
          <c:spPr>
            <a:solidFill>
              <a:srgbClr val="E71C23"/>
            </a:solidFill>
          </c:spPr>
          <c:invertIfNegative val="0"/>
          <c:dLbls>
            <c:dLbl>
              <c:idx val="0"/>
              <c:layout>
                <c:manualLayout>
                  <c:x val="0"/>
                  <c:y val="-2.0219863149737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0219863149737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02198631497372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'intérêt plct'!$A$5:$A$9</c:f>
              <c:strCache>
                <c:ptCount val="5"/>
                <c:pt idx="0">
                  <c:v>Livret A</c:v>
                </c:pt>
                <c:pt idx="1">
                  <c:v>SICAV</c:v>
                </c:pt>
                <c:pt idx="2">
                  <c:v>Actions</c:v>
                </c:pt>
                <c:pt idx="3">
                  <c:v>Assurance-vie</c:v>
                </c:pt>
                <c:pt idx="4">
                  <c:v>Immobilier locatif</c:v>
                </c:pt>
              </c:strCache>
            </c:strRef>
          </c:cat>
          <c:val>
            <c:numRef>
              <c:f>'intérêt plct'!$B$5:$B$9</c:f>
              <c:numCache>
                <c:formatCode>General</c:formatCode>
                <c:ptCount val="5"/>
                <c:pt idx="0">
                  <c:v>19</c:v>
                </c:pt>
                <c:pt idx="1">
                  <c:v>19</c:v>
                </c:pt>
                <c:pt idx="2">
                  <c:v>29</c:v>
                </c:pt>
                <c:pt idx="3">
                  <c:v>62</c:v>
                </c:pt>
                <c:pt idx="4">
                  <c:v>65</c:v>
                </c:pt>
              </c:numCache>
            </c:numRef>
          </c:val>
        </c:ser>
        <c:dLbls>
          <c:showLegendKey val="0"/>
          <c:showVal val="1"/>
          <c:showCatName val="0"/>
          <c:showSerName val="0"/>
          <c:showPercent val="0"/>
          <c:showBubbleSize val="0"/>
        </c:dLbls>
        <c:gapWidth val="150"/>
        <c:shape val="box"/>
        <c:axId val="452996968"/>
        <c:axId val="452994616"/>
        <c:axId val="0"/>
      </c:bar3DChart>
      <c:catAx>
        <c:axId val="452996968"/>
        <c:scaling>
          <c:orientation val="minMax"/>
        </c:scaling>
        <c:delete val="0"/>
        <c:axPos val="l"/>
        <c:numFmt formatCode="General" sourceLinked="0"/>
        <c:majorTickMark val="none"/>
        <c:minorTickMark val="none"/>
        <c:tickLblPos val="nextTo"/>
        <c:crossAx val="452994616"/>
        <c:crosses val="autoZero"/>
        <c:auto val="1"/>
        <c:lblAlgn val="ctr"/>
        <c:lblOffset val="100"/>
        <c:noMultiLvlLbl val="0"/>
      </c:catAx>
      <c:valAx>
        <c:axId val="452994616"/>
        <c:scaling>
          <c:orientation val="minMax"/>
        </c:scaling>
        <c:delete val="1"/>
        <c:axPos val="b"/>
        <c:numFmt formatCode="General" sourceLinked="1"/>
        <c:majorTickMark val="out"/>
        <c:minorTickMark val="none"/>
        <c:tickLblPos val="nextTo"/>
        <c:crossAx val="452996968"/>
        <c:crosses val="autoZero"/>
        <c:crossBetween val="between"/>
      </c:valAx>
    </c:plotArea>
    <c:legend>
      <c:legendPos val="b"/>
      <c:layout>
        <c:manualLayout>
          <c:xMode val="edge"/>
          <c:yMode val="edge"/>
          <c:x val="0.33121201522905641"/>
          <c:y val="0.90987665100330206"/>
          <c:w val="0.34198465465155331"/>
          <c:h val="8.5076045099161474E-2"/>
        </c:manualLayout>
      </c:layout>
      <c:overlay val="0"/>
    </c:legend>
    <c:plotVisOnly val="1"/>
    <c:dispBlanksAs val="gap"/>
    <c:showDLblsOverMax val="0"/>
  </c:chart>
  <c:spPr>
    <a:ln>
      <a:solidFill>
        <a:schemeClr val="bg2">
          <a:lumMod val="75000"/>
        </a:scheme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fr-FR" sz="1200"/>
              <a:t>QUELLE ÉVOLUTION POUR LE RENDEMENT DES PLACEMENTS FINANCIERS EN 2016 ?</a:t>
            </a:r>
          </a:p>
        </c:rich>
      </c:tx>
      <c:layout/>
      <c:overlay val="0"/>
      <c:spPr>
        <a:noFill/>
        <a:ln>
          <a:noFill/>
        </a:ln>
        <a:effectLst/>
      </c:spPr>
    </c:title>
    <c:autoTitleDeleted val="0"/>
    <c:plotArea>
      <c:layout/>
      <c:barChart>
        <c:barDir val="col"/>
        <c:grouping val="clustered"/>
        <c:varyColors val="0"/>
        <c:ser>
          <c:idx val="0"/>
          <c:order val="0"/>
          <c:tx>
            <c:strRef>
              <c:f>rendement!$B$4</c:f>
              <c:strCache>
                <c:ptCount val="1"/>
                <c:pt idx="0">
                  <c:v>Baisser</c:v>
                </c:pt>
              </c:strCache>
            </c:strRef>
          </c:tx>
          <c:spPr>
            <a:solidFill>
              <a:srgbClr val="1F5484"/>
            </a:solidFill>
            <a:ln>
              <a:noFill/>
            </a:ln>
            <a:effectLst/>
          </c:spPr>
          <c:invertIfNegative val="0"/>
          <c:dLbls>
            <c:spPr>
              <a:noFill/>
              <a:ln>
                <a:noFill/>
              </a:ln>
              <a:effectLst/>
            </c:spPr>
            <c:txPr>
              <a:bodyPr rot="0" vert="horz"/>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rendement!$A$5:$A$6</c:f>
              <c:strCache>
                <c:ptCount val="2"/>
                <c:pt idx="0">
                  <c:v>Ensemble des Français</c:v>
                </c:pt>
                <c:pt idx="1">
                  <c:v>Épargnants</c:v>
                </c:pt>
              </c:strCache>
            </c:strRef>
          </c:cat>
          <c:val>
            <c:numRef>
              <c:f>rendement!$B$5:$B$6</c:f>
              <c:numCache>
                <c:formatCode>0%</c:formatCode>
                <c:ptCount val="2"/>
                <c:pt idx="0">
                  <c:v>0.11</c:v>
                </c:pt>
                <c:pt idx="1">
                  <c:v>0.14000000000000001</c:v>
                </c:pt>
              </c:numCache>
            </c:numRef>
          </c:val>
        </c:ser>
        <c:ser>
          <c:idx val="1"/>
          <c:order val="1"/>
          <c:tx>
            <c:strRef>
              <c:f>rendement!$C$4</c:f>
              <c:strCache>
                <c:ptCount val="1"/>
                <c:pt idx="0">
                  <c:v>Augmenter </c:v>
                </c:pt>
              </c:strCache>
            </c:strRef>
          </c:tx>
          <c:spPr>
            <a:solidFill>
              <a:srgbClr val="E71C23"/>
            </a:solidFill>
            <a:ln>
              <a:noFill/>
            </a:ln>
            <a:effectLst/>
          </c:spPr>
          <c:invertIfNegative val="0"/>
          <c:dLbls>
            <c:spPr>
              <a:noFill/>
              <a:ln>
                <a:noFill/>
              </a:ln>
              <a:effectLst/>
            </c:spPr>
            <c:txPr>
              <a:bodyPr rot="0" vert="horz"/>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rendement!$A$5:$A$6</c:f>
              <c:strCache>
                <c:ptCount val="2"/>
                <c:pt idx="0">
                  <c:v>Ensemble des Français</c:v>
                </c:pt>
                <c:pt idx="1">
                  <c:v>Épargnants</c:v>
                </c:pt>
              </c:strCache>
            </c:strRef>
          </c:cat>
          <c:val>
            <c:numRef>
              <c:f>rendement!$C$5:$C$6</c:f>
              <c:numCache>
                <c:formatCode>0%</c:formatCode>
                <c:ptCount val="2"/>
                <c:pt idx="0">
                  <c:v>0.44</c:v>
                </c:pt>
                <c:pt idx="1">
                  <c:v>0.4</c:v>
                </c:pt>
              </c:numCache>
            </c:numRef>
          </c:val>
        </c:ser>
        <c:ser>
          <c:idx val="2"/>
          <c:order val="2"/>
          <c:tx>
            <c:strRef>
              <c:f>rendement!$D$4</c:f>
              <c:strCache>
                <c:ptCount val="1"/>
                <c:pt idx="0">
                  <c:v>Rester stable</c:v>
                </c:pt>
              </c:strCache>
            </c:strRef>
          </c:tx>
          <c:spPr>
            <a:solidFill>
              <a:srgbClr val="A5A5A5"/>
            </a:solidFill>
            <a:ln>
              <a:noFill/>
            </a:ln>
            <a:effectLst/>
          </c:spPr>
          <c:invertIfNegative val="0"/>
          <c:dLbls>
            <c:spPr>
              <a:noFill/>
              <a:ln>
                <a:noFill/>
              </a:ln>
              <a:effectLst/>
            </c:spPr>
            <c:txPr>
              <a:bodyPr rot="0" vert="horz"/>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rendement!$A$5:$A$6</c:f>
              <c:strCache>
                <c:ptCount val="2"/>
                <c:pt idx="0">
                  <c:v>Ensemble des Français</c:v>
                </c:pt>
                <c:pt idx="1">
                  <c:v>Épargnants</c:v>
                </c:pt>
              </c:strCache>
            </c:strRef>
          </c:cat>
          <c:val>
            <c:numRef>
              <c:f>rendement!$D$5:$D$6</c:f>
              <c:numCache>
                <c:formatCode>0%</c:formatCode>
                <c:ptCount val="2"/>
                <c:pt idx="0">
                  <c:v>0.45</c:v>
                </c:pt>
                <c:pt idx="1">
                  <c:v>0.46</c:v>
                </c:pt>
              </c:numCache>
            </c:numRef>
          </c:val>
        </c:ser>
        <c:dLbls>
          <c:showLegendKey val="0"/>
          <c:showVal val="0"/>
          <c:showCatName val="0"/>
          <c:showSerName val="0"/>
          <c:showPercent val="0"/>
          <c:showBubbleSize val="0"/>
        </c:dLbls>
        <c:gapWidth val="219"/>
        <c:overlap val="-27"/>
        <c:axId val="452995008"/>
        <c:axId val="452993048"/>
      </c:barChart>
      <c:catAx>
        <c:axId val="45299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452993048"/>
        <c:crosses val="autoZero"/>
        <c:auto val="1"/>
        <c:lblAlgn val="ctr"/>
        <c:lblOffset val="100"/>
        <c:noMultiLvlLbl val="0"/>
      </c:catAx>
      <c:valAx>
        <c:axId val="452993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fr-FR"/>
          </a:p>
        </c:txPr>
        <c:crossAx val="45299500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a:solidFill>
            <a:sysClr val="windowText" lastClr="000000"/>
          </a:solidFill>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solidFill>
                  <a:sysClr val="windowText" lastClr="000000"/>
                </a:solidFill>
              </a:rPr>
              <a:t>PRENDRE</a:t>
            </a:r>
            <a:r>
              <a:rPr lang="fr-FR" sz="1200" b="1" baseline="0">
                <a:solidFill>
                  <a:sysClr val="windowText" lastClr="000000"/>
                </a:solidFill>
              </a:rPr>
              <a:t> DES RISQUES POUR AVOIR DU RENDEMENT </a:t>
            </a:r>
            <a:endParaRPr lang="fr-FR" sz="1200" b="1">
              <a:solidFill>
                <a:sysClr val="windowText" lastClr="000000"/>
              </a:solidFill>
            </a:endParaRPr>
          </a:p>
        </c:rich>
      </c:tx>
      <c:layout/>
      <c:overlay val="0"/>
      <c:spPr>
        <a:noFill/>
        <a:ln>
          <a:noFill/>
        </a:ln>
        <a:effectLst/>
      </c:spPr>
    </c:title>
    <c:autoTitleDeleted val="0"/>
    <c:plotArea>
      <c:layout/>
      <c:barChart>
        <c:barDir val="col"/>
        <c:grouping val="stacked"/>
        <c:varyColors val="0"/>
        <c:ser>
          <c:idx val="0"/>
          <c:order val="0"/>
          <c:tx>
            <c:strRef>
              <c:f>'risques et rendement'!$A$4</c:f>
              <c:strCache>
                <c:ptCount val="1"/>
                <c:pt idx="0">
                  <c:v>C'est normal</c:v>
                </c:pt>
              </c:strCache>
            </c:strRef>
          </c:tx>
          <c:spPr>
            <a:solidFill>
              <a:srgbClr val="E71C2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'risques et rendement'!$B$3:$E$3</c:f>
              <c:strCache>
                <c:ptCount val="4"/>
                <c:pt idx="0">
                  <c:v>Ensemble des Français</c:v>
                </c:pt>
                <c:pt idx="1">
                  <c:v>Épargnants</c:v>
                </c:pt>
                <c:pt idx="2">
                  <c:v>Détenteurs de contrats 
d'assurance-vie</c:v>
                </c:pt>
                <c:pt idx="3">
                  <c:v>Détenteurs de PEA</c:v>
                </c:pt>
              </c:strCache>
            </c:strRef>
          </c:cat>
          <c:val>
            <c:numRef>
              <c:f>'risques et rendement'!$B$4:$E$4</c:f>
              <c:numCache>
                <c:formatCode>0%</c:formatCode>
                <c:ptCount val="4"/>
                <c:pt idx="0">
                  <c:v>0.47</c:v>
                </c:pt>
                <c:pt idx="1">
                  <c:v>0.55000000000000004</c:v>
                </c:pt>
                <c:pt idx="2">
                  <c:v>0.56999999999999995</c:v>
                </c:pt>
                <c:pt idx="3">
                  <c:v>0.74</c:v>
                </c:pt>
              </c:numCache>
            </c:numRef>
          </c:val>
        </c:ser>
        <c:ser>
          <c:idx val="1"/>
          <c:order val="1"/>
          <c:tx>
            <c:strRef>
              <c:f>'risques et rendement'!$A$5</c:f>
              <c:strCache>
                <c:ptCount val="1"/>
                <c:pt idx="0">
                  <c:v>Ce n'est pas normal</c:v>
                </c:pt>
              </c:strCache>
            </c:strRef>
          </c:tx>
          <c:spPr>
            <a:solidFill>
              <a:srgbClr val="1F5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'risques et rendement'!$B$3:$E$3</c:f>
              <c:strCache>
                <c:ptCount val="4"/>
                <c:pt idx="0">
                  <c:v>Ensemble des Français</c:v>
                </c:pt>
                <c:pt idx="1">
                  <c:v>Épargnants</c:v>
                </c:pt>
                <c:pt idx="2">
                  <c:v>Détenteurs de contrats 
d'assurance-vie</c:v>
                </c:pt>
                <c:pt idx="3">
                  <c:v>Détenteurs de PEA</c:v>
                </c:pt>
              </c:strCache>
            </c:strRef>
          </c:cat>
          <c:val>
            <c:numRef>
              <c:f>'risques et rendement'!$B$5:$E$5</c:f>
              <c:numCache>
                <c:formatCode>0%</c:formatCode>
                <c:ptCount val="4"/>
                <c:pt idx="0">
                  <c:v>0.53</c:v>
                </c:pt>
                <c:pt idx="1">
                  <c:v>0.45</c:v>
                </c:pt>
                <c:pt idx="2">
                  <c:v>0.43</c:v>
                </c:pt>
                <c:pt idx="3">
                  <c:v>0.26</c:v>
                </c:pt>
              </c:numCache>
            </c:numRef>
          </c:val>
        </c:ser>
        <c:dLbls>
          <c:showLegendKey val="0"/>
          <c:showVal val="0"/>
          <c:showCatName val="0"/>
          <c:showSerName val="0"/>
          <c:showPercent val="0"/>
          <c:showBubbleSize val="0"/>
        </c:dLbls>
        <c:gapWidth val="150"/>
        <c:overlap val="100"/>
        <c:axId val="452994224"/>
        <c:axId val="452996184"/>
      </c:barChart>
      <c:catAx>
        <c:axId val="4529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452996184"/>
        <c:crosses val="autoZero"/>
        <c:auto val="1"/>
        <c:lblAlgn val="ctr"/>
        <c:lblOffset val="100"/>
        <c:noMultiLvlLbl val="0"/>
      </c:catAx>
      <c:valAx>
        <c:axId val="452996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452994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QUELS SONT LES PLACEMENTS LES PLUS RENTABLES ? </a:t>
            </a:r>
          </a:p>
          <a:p>
            <a:pPr>
              <a:defRPr/>
            </a:pPr>
            <a:r>
              <a:rPr lang="en-US" sz="1200"/>
              <a:t>(2 RÉPONSES POSSIBLES EN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'rentabilité plct'!$B$11</c:f>
              <c:strCache>
                <c:ptCount val="1"/>
                <c:pt idx="0">
                  <c:v>Quels sont les placements les plus rentables ? (2réponses)</c:v>
                </c:pt>
              </c:strCache>
            </c:strRef>
          </c:tx>
          <c:spPr>
            <a:solidFill>
              <a:srgbClr val="E71C23"/>
            </a:solidFill>
          </c:spPr>
          <c:invertIfNegative val="0"/>
          <c:dLbls>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'rentabilité plct'!$A$12:$A$20</c:f>
              <c:strCache>
                <c:ptCount val="9"/>
                <c:pt idx="0">
                  <c:v>Les biens immobiliers locatifs</c:v>
                </c:pt>
                <c:pt idx="1">
                  <c:v>Les contrats d'assurance-vie</c:v>
                </c:pt>
                <c:pt idx="2">
                  <c:v>Aucun</c:v>
                </c:pt>
                <c:pt idx="3">
                  <c:v>Les actions </c:v>
                </c:pt>
                <c:pt idx="4">
                  <c:v>Les livrets bancaires</c:v>
                </c:pt>
                <c:pt idx="5">
                  <c:v>Le Livret A</c:v>
                </c:pt>
                <c:pt idx="6">
                  <c:v>Les obligations corporate</c:v>
                </c:pt>
                <c:pt idx="7">
                  <c:v>Le crowdfunding</c:v>
                </c:pt>
                <c:pt idx="8">
                  <c:v>Les obligations d'État</c:v>
                </c:pt>
              </c:strCache>
            </c:strRef>
          </c:cat>
          <c:val>
            <c:numRef>
              <c:f>'rentabilité plct'!$B$12:$B$20</c:f>
              <c:numCache>
                <c:formatCode>General</c:formatCode>
                <c:ptCount val="9"/>
                <c:pt idx="0">
                  <c:v>51</c:v>
                </c:pt>
                <c:pt idx="1">
                  <c:v>49</c:v>
                </c:pt>
                <c:pt idx="2">
                  <c:v>22</c:v>
                </c:pt>
                <c:pt idx="3">
                  <c:v>17</c:v>
                </c:pt>
                <c:pt idx="4">
                  <c:v>10</c:v>
                </c:pt>
                <c:pt idx="5">
                  <c:v>8</c:v>
                </c:pt>
                <c:pt idx="6">
                  <c:v>8</c:v>
                </c:pt>
                <c:pt idx="7">
                  <c:v>7</c:v>
                </c:pt>
                <c:pt idx="8">
                  <c:v>6</c:v>
                </c:pt>
              </c:numCache>
            </c:numRef>
          </c:val>
        </c:ser>
        <c:dLbls>
          <c:showLegendKey val="0"/>
          <c:showVal val="1"/>
          <c:showCatName val="0"/>
          <c:showSerName val="0"/>
          <c:showPercent val="0"/>
          <c:showBubbleSize val="0"/>
        </c:dLbls>
        <c:gapWidth val="150"/>
        <c:shape val="box"/>
        <c:axId val="452995400"/>
        <c:axId val="452993832"/>
        <c:axId val="0"/>
      </c:bar3DChart>
      <c:catAx>
        <c:axId val="452995400"/>
        <c:scaling>
          <c:orientation val="minMax"/>
        </c:scaling>
        <c:delete val="0"/>
        <c:axPos val="b"/>
        <c:numFmt formatCode="General" sourceLinked="0"/>
        <c:majorTickMark val="none"/>
        <c:minorTickMark val="none"/>
        <c:tickLblPos val="nextTo"/>
        <c:txPr>
          <a:bodyPr rot="-2640000" vert="horz" anchor="ctr" anchorCtr="0"/>
          <a:lstStyle/>
          <a:p>
            <a:pPr>
              <a:defRPr sz="900">
                <a:solidFill>
                  <a:sysClr val="windowText" lastClr="000000"/>
                </a:solidFill>
              </a:defRPr>
            </a:pPr>
            <a:endParaRPr lang="fr-FR"/>
          </a:p>
        </c:txPr>
        <c:crossAx val="452993832"/>
        <c:crosses val="autoZero"/>
        <c:auto val="1"/>
        <c:lblAlgn val="ctr"/>
        <c:lblOffset val="100"/>
        <c:noMultiLvlLbl val="0"/>
      </c:catAx>
      <c:valAx>
        <c:axId val="452993832"/>
        <c:scaling>
          <c:orientation val="minMax"/>
        </c:scaling>
        <c:delete val="1"/>
        <c:axPos val="l"/>
        <c:numFmt formatCode="General" sourceLinked="1"/>
        <c:majorTickMark val="out"/>
        <c:minorTickMark val="none"/>
        <c:tickLblPos val="nextTo"/>
        <c:crossAx val="452995400"/>
        <c:crosses val="autoZero"/>
        <c:crossBetween val="between"/>
      </c:valAx>
    </c:plotArea>
    <c:plotVisOnly val="1"/>
    <c:dispBlanksAs val="gap"/>
    <c:showDLblsOverMax val="0"/>
  </c:chart>
  <c:spPr>
    <a:ln>
      <a:solidFill>
        <a:srgbClr val="E7E6E6">
          <a:lumMod val="75000"/>
        </a:srgb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fr-FR" sz="1200" b="1">
                <a:solidFill>
                  <a:sysClr val="windowText" lastClr="000000"/>
                </a:solidFill>
              </a:rPr>
              <a:t>SUR QUEL TYPE DE CONTRAT D'ASSURANCE-VIE SOUHAITEZ-VOUS PLACER VOTRE ARGENT ? </a:t>
            </a:r>
          </a:p>
        </c:rich>
      </c:tx>
      <c:layout/>
      <c:overlay val="0"/>
      <c:spPr>
        <a:noFill/>
        <a:ln>
          <a:noFill/>
        </a:ln>
        <a:effectLst/>
      </c:spPr>
    </c:title>
    <c:autoTitleDeleted val="0"/>
    <c:plotArea>
      <c:layout/>
      <c:pieChart>
        <c:varyColors val="1"/>
        <c:ser>
          <c:idx val="0"/>
          <c:order val="0"/>
          <c:tx>
            <c:strRef>
              <c:f>'préf UC oou euros'!$B$4</c:f>
              <c:strCache>
                <c:ptCount val="1"/>
                <c:pt idx="0">
                  <c:v>ensemble des Français </c:v>
                </c:pt>
              </c:strCache>
            </c:strRef>
          </c:tx>
          <c:spPr>
            <a:solidFill>
              <a:srgbClr val="A5A5A5"/>
            </a:solidFill>
          </c:spPr>
          <c:dPt>
            <c:idx val="0"/>
            <c:bubble3D val="0"/>
            <c:spPr>
              <a:solidFill>
                <a:srgbClr val="E71C23"/>
              </a:solidFill>
              <a:ln w="19050">
                <a:solidFill>
                  <a:schemeClr val="lt1"/>
                </a:solidFill>
              </a:ln>
              <a:effectLst/>
            </c:spPr>
          </c:dPt>
          <c:dPt>
            <c:idx val="1"/>
            <c:bubble3D val="0"/>
            <c:spPr>
              <a:solidFill>
                <a:srgbClr val="A5A5A5"/>
              </a:solidFill>
              <a:ln w="19050">
                <a:solidFill>
                  <a:schemeClr val="lt1"/>
                </a:solidFill>
              </a:ln>
              <a:effectLst/>
            </c:spPr>
          </c:dPt>
          <c:dPt>
            <c:idx val="2"/>
            <c:bubble3D val="0"/>
            <c:spPr>
              <a:solidFill>
                <a:srgbClr val="1F548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'préf UC oou euros'!$A$5:$A$7</c:f>
              <c:strCache>
                <c:ptCount val="3"/>
                <c:pt idx="0">
                  <c:v>Contrat fonds euros</c:v>
                </c:pt>
                <c:pt idx="1">
                  <c:v>Contrats en UC</c:v>
                </c:pt>
                <c:pt idx="2">
                  <c:v>Contrat fonds euros et UC</c:v>
                </c:pt>
              </c:strCache>
            </c:strRef>
          </c:cat>
          <c:val>
            <c:numRef>
              <c:f>'préf UC oou euros'!$B$5:$B$7</c:f>
              <c:numCache>
                <c:formatCode>0%</c:formatCode>
                <c:ptCount val="3"/>
                <c:pt idx="0">
                  <c:v>0.42</c:v>
                </c:pt>
                <c:pt idx="1">
                  <c:v>0.12</c:v>
                </c:pt>
                <c:pt idx="2">
                  <c:v>0.46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10141424085329"/>
          <c:y val="0.87571755143510288"/>
          <c:w val="0.74678869974991358"/>
          <c:h val="9.14085085024922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b="1">
                <a:solidFill>
                  <a:sysClr val="windowText" lastClr="000000"/>
                </a:solidFill>
              </a:rPr>
              <a:t>QUELLES SOLUTIONS POUR L'APRÈS 2017 ?</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'les solutions'!$B$3</c:f>
              <c:strCache>
                <c:ptCount val="1"/>
                <c:pt idx="0">
                  <c:v>oui</c:v>
                </c:pt>
              </c:strCache>
            </c:strRef>
          </c:tx>
          <c:spPr>
            <a:solidFill>
              <a:srgbClr val="1F548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'les solutions'!$A$4:$A$6</c:f>
              <c:strCache>
                <c:ptCount val="3"/>
                <c:pt idx="0">
                  <c:v>Créer un régime unique de retraite</c:v>
                </c:pt>
                <c:pt idx="1">
                  <c:v>Développer les fonds de pension</c:v>
                </c:pt>
                <c:pt idx="2">
                  <c:v>Repousser l'âge de départ à la retraite
à 65 ans</c:v>
                </c:pt>
              </c:strCache>
            </c:strRef>
          </c:cat>
          <c:val>
            <c:numRef>
              <c:f>'les solutions'!$B$4:$B$6</c:f>
              <c:numCache>
                <c:formatCode>General</c:formatCode>
                <c:ptCount val="3"/>
                <c:pt idx="0">
                  <c:v>72</c:v>
                </c:pt>
                <c:pt idx="1">
                  <c:v>66</c:v>
                </c:pt>
                <c:pt idx="2">
                  <c:v>40</c:v>
                </c:pt>
              </c:numCache>
            </c:numRef>
          </c:val>
        </c:ser>
        <c:ser>
          <c:idx val="1"/>
          <c:order val="1"/>
          <c:tx>
            <c:strRef>
              <c:f>'les solutions'!$C$3</c:f>
              <c:strCache>
                <c:ptCount val="1"/>
                <c:pt idx="0">
                  <c:v>non</c:v>
                </c:pt>
              </c:strCache>
            </c:strRef>
          </c:tx>
          <c:spPr>
            <a:solidFill>
              <a:srgbClr val="E71C2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'les solutions'!$A$4:$A$6</c:f>
              <c:strCache>
                <c:ptCount val="3"/>
                <c:pt idx="0">
                  <c:v>Créer un régime unique de retraite</c:v>
                </c:pt>
                <c:pt idx="1">
                  <c:v>Développer les fonds de pension</c:v>
                </c:pt>
                <c:pt idx="2">
                  <c:v>Repousser l'âge de départ à la retraite
à 65 ans</c:v>
                </c:pt>
              </c:strCache>
            </c:strRef>
          </c:cat>
          <c:val>
            <c:numRef>
              <c:f>'les solutions'!$C$4:$C$6</c:f>
              <c:numCache>
                <c:formatCode>General</c:formatCode>
                <c:ptCount val="3"/>
                <c:pt idx="0">
                  <c:v>28</c:v>
                </c:pt>
                <c:pt idx="1">
                  <c:v>34</c:v>
                </c:pt>
                <c:pt idx="2">
                  <c:v>60</c:v>
                </c:pt>
              </c:numCache>
            </c:numRef>
          </c:val>
        </c:ser>
        <c:dLbls>
          <c:showLegendKey val="0"/>
          <c:showVal val="0"/>
          <c:showCatName val="0"/>
          <c:showSerName val="0"/>
          <c:showPercent val="0"/>
          <c:showBubbleSize val="0"/>
        </c:dLbls>
        <c:gapWidth val="150"/>
        <c:shape val="box"/>
        <c:axId val="383221424"/>
        <c:axId val="383219464"/>
        <c:axId val="0"/>
      </c:bar3DChart>
      <c:catAx>
        <c:axId val="383221424"/>
        <c:scaling>
          <c:orientation val="minMax"/>
        </c:scaling>
        <c:delete val="0"/>
        <c:axPos val="l"/>
        <c:numFmt formatCode="General" sourceLinked="0"/>
        <c:majorTickMark val="none"/>
        <c:minorTickMark val="none"/>
        <c:tickLblPos val="nextTo"/>
        <c:crossAx val="383219464"/>
        <c:crosses val="autoZero"/>
        <c:auto val="1"/>
        <c:lblAlgn val="ctr"/>
        <c:lblOffset val="100"/>
        <c:noMultiLvlLbl val="0"/>
      </c:catAx>
      <c:valAx>
        <c:axId val="383219464"/>
        <c:scaling>
          <c:orientation val="minMax"/>
        </c:scaling>
        <c:delete val="0"/>
        <c:axPos val="b"/>
        <c:majorGridlines/>
        <c:numFmt formatCode="General" sourceLinked="1"/>
        <c:majorTickMark val="none"/>
        <c:minorTickMark val="none"/>
        <c:tickLblPos val="nextTo"/>
        <c:crossAx val="383221424"/>
        <c:crosses val="autoZero"/>
        <c:crossBetween val="between"/>
      </c:valAx>
    </c:plotArea>
    <c:legend>
      <c:legendPos val="r"/>
      <c:layout/>
      <c:overlay val="0"/>
    </c:legend>
    <c:plotVisOnly val="1"/>
    <c:dispBlanksAs val="gap"/>
    <c:showDLblsOverMax val="0"/>
  </c:chart>
  <c:spPr>
    <a:ln>
      <a:solidFill>
        <a:schemeClr val="bg2">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LES MOTIVATIONS DES PARTISANS DE LA CAPITALISATION </a:t>
            </a:r>
          </a:p>
        </c:rich>
      </c:tx>
      <c:layout/>
      <c:overlay val="0"/>
    </c:title>
    <c:autoTitleDeleted val="0"/>
    <c:plotArea>
      <c:layout/>
      <c:doughnutChart>
        <c:varyColors val="1"/>
        <c:ser>
          <c:idx val="0"/>
          <c:order val="0"/>
          <c:tx>
            <c:strRef>
              <c:f>'motivations ép capi'!$B$6:$B$7</c:f>
              <c:strCache>
                <c:ptCount val="1"/>
                <c:pt idx="0">
                  <c:v>Les motivations des partisans de la capitalisation </c:v>
                </c:pt>
              </c:strCache>
            </c:strRef>
          </c:tx>
          <c:explosion val="25"/>
          <c:dPt>
            <c:idx val="0"/>
            <c:bubble3D val="0"/>
            <c:spPr>
              <a:solidFill>
                <a:srgbClr val="1F5484"/>
              </a:solidFill>
            </c:spPr>
          </c:dPt>
          <c:dPt>
            <c:idx val="1"/>
            <c:bubble3D val="0"/>
            <c:spPr>
              <a:solidFill>
                <a:srgbClr val="E71C23"/>
              </a:solidFill>
            </c:spPr>
          </c:dPt>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'motivations ép capi'!$A$8:$A$11</c:f>
              <c:strCache>
                <c:ptCount val="4"/>
                <c:pt idx="0">
                  <c:v>Cela rendrait chaque génération responsable du financement des retraites</c:v>
                </c:pt>
                <c:pt idx="1">
                  <c:v>Cela permettrait d'améliorer le montant des retraites</c:v>
                </c:pt>
                <c:pt idx="2">
                  <c:v>Cela est nécessaire compte tenu du risque de faillite du régime des retraites</c:v>
                </c:pt>
                <c:pt idx="3">
                  <c:v>Rien du tout</c:v>
                </c:pt>
              </c:strCache>
            </c:strRef>
          </c:cat>
          <c:val>
            <c:numRef>
              <c:f>'motivations ép capi'!$B$8:$B$11</c:f>
              <c:numCache>
                <c:formatCode>General</c:formatCode>
                <c:ptCount val="4"/>
                <c:pt idx="0">
                  <c:v>38</c:v>
                </c:pt>
                <c:pt idx="1">
                  <c:v>28</c:v>
                </c:pt>
                <c:pt idx="2">
                  <c:v>30</c:v>
                </c:pt>
                <c:pt idx="3">
                  <c:v>4</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spPr>
    <a:ln>
      <a:solidFill>
        <a:schemeClr val="bg2">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a:solidFill>
                  <a:sysClr val="windowText" lastClr="000000"/>
                </a:solidFill>
                <a:latin typeface="Arial"/>
                <a:cs typeface="Arial"/>
              </a:rPr>
              <a:t>À</a:t>
            </a:r>
            <a:r>
              <a:rPr lang="fr-FR" sz="1200" b="1">
                <a:solidFill>
                  <a:sysClr val="windowText" lastClr="000000"/>
                </a:solidFill>
              </a:rPr>
              <a:t> LA RETRAITE ESTIMEZ-VOUS QUE VOTRE PENSION EST OU SERA...</a:t>
            </a:r>
          </a:p>
        </c:rich>
      </c:tx>
      <c:layout/>
      <c:overlay val="0"/>
      <c:spPr>
        <a:noFill/>
        <a:ln>
          <a:noFill/>
        </a:ln>
        <a:effectLst/>
      </c:spPr>
    </c:title>
    <c:autoTitleDeleted val="0"/>
    <c:plotArea>
      <c:layout>
        <c:manualLayout>
          <c:layoutTarget val="inner"/>
          <c:xMode val="edge"/>
          <c:yMode val="edge"/>
          <c:x val="0.17925571806615756"/>
          <c:y val="0.17515456453459885"/>
          <c:w val="0.78286121070588333"/>
          <c:h val="0.5815861537973076"/>
        </c:manualLayout>
      </c:layout>
      <c:barChart>
        <c:barDir val="bar"/>
        <c:grouping val="percentStacked"/>
        <c:varyColors val="0"/>
        <c:ser>
          <c:idx val="0"/>
          <c:order val="0"/>
          <c:tx>
            <c:strRef>
              <c:f>'niveau de pension'!$A$5</c:f>
              <c:strCache>
                <c:ptCount val="1"/>
                <c:pt idx="0">
                  <c:v>Tout à fait suffisante</c:v>
                </c:pt>
              </c:strCache>
            </c:strRef>
          </c:tx>
          <c:spPr>
            <a:solidFill>
              <a:srgbClr val="1F5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'niveau de pension'!$B$4:$C$4</c:f>
              <c:strCache>
                <c:ptCount val="2"/>
                <c:pt idx="0">
                  <c:v>Ensemble des Français</c:v>
                </c:pt>
                <c:pt idx="1">
                  <c:v>Retraités </c:v>
                </c:pt>
              </c:strCache>
            </c:strRef>
          </c:cat>
          <c:val>
            <c:numRef>
              <c:f>'niveau de pension'!$B$5:$C$5</c:f>
              <c:numCache>
                <c:formatCode>0%</c:formatCode>
                <c:ptCount val="2"/>
                <c:pt idx="0">
                  <c:v>0.04</c:v>
                </c:pt>
                <c:pt idx="1">
                  <c:v>0.05</c:v>
                </c:pt>
              </c:numCache>
            </c:numRef>
          </c:val>
        </c:ser>
        <c:ser>
          <c:idx val="1"/>
          <c:order val="1"/>
          <c:tx>
            <c:strRef>
              <c:f>'niveau de pension'!$A$6</c:f>
              <c:strCache>
                <c:ptCount val="1"/>
                <c:pt idx="0">
                  <c:v>Plutôt suffisante</c:v>
                </c:pt>
              </c:strCache>
            </c:strRef>
          </c:tx>
          <c:spPr>
            <a:solidFill>
              <a:srgbClr val="E71C23"/>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'niveau de pension'!$B$4:$C$4</c:f>
              <c:strCache>
                <c:ptCount val="2"/>
                <c:pt idx="0">
                  <c:v>Ensemble des Français</c:v>
                </c:pt>
                <c:pt idx="1">
                  <c:v>Retraités </c:v>
                </c:pt>
              </c:strCache>
            </c:strRef>
          </c:cat>
          <c:val>
            <c:numRef>
              <c:f>'niveau de pension'!$B$6:$C$6</c:f>
              <c:numCache>
                <c:formatCode>0%</c:formatCode>
                <c:ptCount val="2"/>
                <c:pt idx="0">
                  <c:v>0.24</c:v>
                </c:pt>
                <c:pt idx="1">
                  <c:v>0.44</c:v>
                </c:pt>
              </c:numCache>
            </c:numRef>
          </c:val>
        </c:ser>
        <c:ser>
          <c:idx val="2"/>
          <c:order val="2"/>
          <c:tx>
            <c:strRef>
              <c:f>'niveau de pension'!$A$7</c:f>
              <c:strCache>
                <c:ptCount val="1"/>
                <c:pt idx="0">
                  <c:v>Plutôt insuffisante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'niveau de pension'!$B$4:$C$4</c:f>
              <c:strCache>
                <c:ptCount val="2"/>
                <c:pt idx="0">
                  <c:v>Ensemble des Français</c:v>
                </c:pt>
                <c:pt idx="1">
                  <c:v>Retraités </c:v>
                </c:pt>
              </c:strCache>
            </c:strRef>
          </c:cat>
          <c:val>
            <c:numRef>
              <c:f>'niveau de pension'!$B$7:$C$7</c:f>
              <c:numCache>
                <c:formatCode>0%</c:formatCode>
                <c:ptCount val="2"/>
                <c:pt idx="0">
                  <c:v>0.46</c:v>
                </c:pt>
                <c:pt idx="1">
                  <c:v>0.38</c:v>
                </c:pt>
              </c:numCache>
            </c:numRef>
          </c:val>
        </c:ser>
        <c:ser>
          <c:idx val="3"/>
          <c:order val="3"/>
          <c:tx>
            <c:strRef>
              <c:f>'niveau de pension'!$A$8</c:f>
              <c:strCache>
                <c:ptCount val="1"/>
                <c:pt idx="0">
                  <c:v>Tout à fait insuffisante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'niveau de pension'!$B$4:$C$4</c:f>
              <c:strCache>
                <c:ptCount val="2"/>
                <c:pt idx="0">
                  <c:v>Ensemble des Français</c:v>
                </c:pt>
                <c:pt idx="1">
                  <c:v>Retraités </c:v>
                </c:pt>
              </c:strCache>
            </c:strRef>
          </c:cat>
          <c:val>
            <c:numRef>
              <c:f>'niveau de pension'!$B$8:$C$8</c:f>
              <c:numCache>
                <c:formatCode>0%</c:formatCode>
                <c:ptCount val="2"/>
                <c:pt idx="0">
                  <c:v>0.26</c:v>
                </c:pt>
                <c:pt idx="1">
                  <c:v>0.13</c:v>
                </c:pt>
              </c:numCache>
            </c:numRef>
          </c:val>
        </c:ser>
        <c:dLbls>
          <c:showLegendKey val="0"/>
          <c:showVal val="0"/>
          <c:showCatName val="0"/>
          <c:showSerName val="0"/>
          <c:showPercent val="0"/>
          <c:showBubbleSize val="0"/>
        </c:dLbls>
        <c:gapWidth val="150"/>
        <c:overlap val="100"/>
        <c:axId val="383219856"/>
        <c:axId val="383220248"/>
      </c:barChart>
      <c:catAx>
        <c:axId val="38321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383220248"/>
        <c:crosses val="autoZero"/>
        <c:auto val="1"/>
        <c:lblAlgn val="ctr"/>
        <c:lblOffset val="100"/>
        <c:noMultiLvlLbl val="0"/>
      </c:catAx>
      <c:valAx>
        <c:axId val="383220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383219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200" b="1"/>
              <a:t>ESTIMEZ-VOUS QU'À LA RETRAITE,</a:t>
            </a:r>
            <a:r>
              <a:rPr lang="fr-FR" sz="1200" b="1" baseline="0"/>
              <a:t> VOUS AVEZ OU AUREZ POUR VIVRE CORRECTEMENT UNE PENSION...</a:t>
            </a:r>
            <a:endParaRPr lang="fr-FR" sz="1200" b="1"/>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1"/>
            <c:bubble3D val="0"/>
            <c:spPr>
              <a:solidFill>
                <a:srgbClr val="E71C23"/>
              </a:solidFill>
            </c:spPr>
          </c:dPt>
          <c:dPt>
            <c:idx val="2"/>
            <c:bubble3D val="0"/>
            <c:spPr>
              <a:solidFill>
                <a:srgbClr val="1F5484"/>
              </a:solidFill>
            </c:spPr>
          </c:dPt>
          <c:dLbls>
            <c:dLbl>
              <c:idx val="1"/>
              <c:layout>
                <c:manualLayout>
                  <c:x val="-0.13123682333765563"/>
                  <c:y val="7.6849043536407716E-2"/>
                </c:manualLayout>
              </c:layout>
              <c:tx>
                <c:rich>
                  <a:bodyPr/>
                  <a:lstStyle/>
                  <a:p>
                    <a:r>
                      <a:rPr lang="en-US"/>
                      <a:t>suffisante</a:t>
                    </a:r>
                  </a:p>
                  <a:p>
                    <a:r>
                      <a:rPr lang="en-US"/>
                      <a:t>28%</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7338409232007668"/>
                  <c:y val="-0.19350058510257206"/>
                </c:manualLayout>
              </c:layout>
              <c:tx>
                <c:rich>
                  <a:bodyPr/>
                  <a:lstStyle/>
                  <a:p>
                    <a:r>
                      <a:rPr lang="en-US"/>
                      <a:t>insuffisante</a:t>
                    </a:r>
                    <a:r>
                      <a:rPr lang="en-US" baseline="0"/>
                      <a:t> </a:t>
                    </a:r>
                  </a:p>
                  <a:p>
                    <a:r>
                      <a:rPr lang="en-US"/>
                      <a:t>72%</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'le montant de la pension'!$A$5:$A$7</c:f>
              <c:strCache>
                <c:ptCount val="3"/>
                <c:pt idx="1">
                  <c:v> suffisante</c:v>
                </c:pt>
                <c:pt idx="2">
                  <c:v> insuffisante </c:v>
                </c:pt>
              </c:strCache>
            </c:strRef>
          </c:cat>
          <c:val>
            <c:numRef>
              <c:f>'le montant de la pension'!$B$5:$B$7</c:f>
              <c:numCache>
                <c:formatCode>General</c:formatCode>
                <c:ptCount val="3"/>
                <c:pt idx="1">
                  <c:v>28</c:v>
                </c:pt>
                <c:pt idx="2">
                  <c:v>72</c:v>
                </c:pt>
              </c:numCache>
            </c:numRef>
          </c:val>
        </c:ser>
        <c:dLbls>
          <c:showLegendKey val="0"/>
          <c:showVal val="0"/>
          <c:showCatName val="0"/>
          <c:showSerName val="0"/>
          <c:showPercent val="1"/>
          <c:showBubbleSize val="0"/>
          <c:showLeaderLines val="1"/>
        </c:dLbls>
      </c:pie3DChart>
    </c:plotArea>
    <c:plotVisOnly val="1"/>
    <c:dispBlanksAs val="gap"/>
    <c:showDLblsOverMax val="0"/>
  </c:chart>
  <c:spPr>
    <a:ln>
      <a:solidFill>
        <a:srgbClr val="E7E6E6">
          <a:lumMod val="75000"/>
        </a:srgb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b="1">
                <a:solidFill>
                  <a:sysClr val="windowText" lastClr="000000"/>
                </a:solidFill>
              </a:rPr>
              <a:t>EN TANT QUE RETRAITÉ, PENSEZ-VOUS QUE</a:t>
            </a:r>
            <a:r>
              <a:rPr lang="fr-FR" sz="1200" b="1" baseline="0">
                <a:solidFill>
                  <a:sysClr val="windowText" lastClr="000000"/>
                </a:solidFill>
              </a:rPr>
              <a:t> VOTRE PENSION POUR VIVRE CORRECTEMENT EST..</a:t>
            </a:r>
            <a:endParaRPr lang="fr-FR" sz="1200" b="1">
              <a:solidFill>
                <a:sysClr val="windowText" lastClr="000000"/>
              </a:solidFill>
            </a:endParaRP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779119533983276E-2"/>
          <c:y val="0.28866086169672339"/>
          <c:w val="0.86618316730037292"/>
          <c:h val="0.62290648018796035"/>
        </c:manualLayout>
      </c:layout>
      <c:pie3DChart>
        <c:varyColors val="1"/>
        <c:ser>
          <c:idx val="0"/>
          <c:order val="0"/>
          <c:spPr>
            <a:solidFill>
              <a:srgbClr val="1F5484"/>
            </a:solidFill>
          </c:spPr>
          <c:dPt>
            <c:idx val="0"/>
            <c:bubble3D val="0"/>
            <c:spPr>
              <a:solidFill>
                <a:srgbClr val="E71C23"/>
              </a:solidFill>
            </c:spPr>
          </c:dPt>
          <c:dLbls>
            <c:dLbl>
              <c:idx val="0"/>
              <c:layout>
                <c:manualLayout>
                  <c:x val="-0.20353158415698955"/>
                  <c:y val="3.0250188964173826E-4"/>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8580744920644535"/>
                  <c:y val="-0.1067959039652027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solidFill>
                      <a:schemeClr val="bg1"/>
                    </a:solidFill>
                  </a:defRPr>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'le montant de la pension'!$A$11:$A$12</c:f>
              <c:strCache>
                <c:ptCount val="2"/>
                <c:pt idx="0">
                  <c:v> suffisante </c:v>
                </c:pt>
                <c:pt idx="1">
                  <c:v> insuffisante</c:v>
                </c:pt>
              </c:strCache>
            </c:strRef>
          </c:cat>
          <c:val>
            <c:numRef>
              <c:f>'le montant de la pension'!$B$11:$B$12</c:f>
              <c:numCache>
                <c:formatCode>General</c:formatCode>
                <c:ptCount val="2"/>
                <c:pt idx="0">
                  <c:v>49</c:v>
                </c:pt>
                <c:pt idx="1">
                  <c:v>51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bg2">
          <a:lumMod val="7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fr-FR" sz="1100" b="1" i="0" baseline="0">
                <a:effectLst/>
              </a:rPr>
              <a:t> À QUEL ÂGE, FAUT-IL ÉPARGNER POUR SA RETRAITE ?</a:t>
            </a:r>
            <a:endParaRPr lang="fr-FR" sz="1100"/>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1F5484"/>
              </a:solidFill>
            </c:spPr>
          </c:dPt>
          <c:dPt>
            <c:idx val="1"/>
            <c:bubble3D val="0"/>
            <c:spPr>
              <a:solidFill>
                <a:srgbClr val="E71C23"/>
              </a:solidFill>
            </c:spPr>
          </c:dPt>
          <c:dLbls>
            <c:dLbl>
              <c:idx val="0"/>
              <c:layout>
                <c:manualLayout>
                  <c:x val="-6.3643007931641293E-2"/>
                  <c:y val="-0.22854216776834405"/>
                </c:manualLayout>
              </c:layout>
              <c:tx>
                <c:rich>
                  <a:bodyPr/>
                  <a:lstStyle/>
                  <a:p>
                    <a:r>
                      <a:rPr lang="en-US"/>
                      <a:t>74%</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7614382584581009E-2"/>
                  <c:y val="6.1880343785437004E-2"/>
                </c:manualLayout>
              </c:layout>
              <c:tx>
                <c:rich>
                  <a:bodyPr/>
                  <a:lstStyle/>
                  <a:p>
                    <a:r>
                      <a:rPr lang="en-US"/>
                      <a:t>19%</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8317459000587857E-2"/>
                  <c:y val="9.6244956477540625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'a quel âge épargner'!$A$9:$A$11</c:f>
              <c:strCache>
                <c:ptCount val="3"/>
                <c:pt idx="0">
                  <c:v>Avant 40 ans </c:v>
                </c:pt>
                <c:pt idx="1">
                  <c:v>Entre 40 et 50 ans </c:v>
                </c:pt>
                <c:pt idx="2">
                  <c:v>Après 50 ans </c:v>
                </c:pt>
              </c:strCache>
            </c:strRef>
          </c:cat>
          <c:val>
            <c:numRef>
              <c:f>'a quel âge épargner'!$B$9:$B$11</c:f>
              <c:numCache>
                <c:formatCode>General</c:formatCode>
                <c:ptCount val="3"/>
                <c:pt idx="0">
                  <c:v>74</c:v>
                </c:pt>
                <c:pt idx="1">
                  <c:v>19</c:v>
                </c:pt>
                <c:pt idx="2">
                  <c:v>3</c:v>
                </c:pt>
              </c:numCache>
            </c:numRef>
          </c:val>
        </c:ser>
        <c:dLbls>
          <c:showLegendKey val="0"/>
          <c:showVal val="0"/>
          <c:showCatName val="0"/>
          <c:showSerName val="0"/>
          <c:showPercent val="1"/>
          <c:showBubbleSize val="0"/>
          <c:showLeaderLines val="1"/>
        </c:dLbls>
      </c:pie3DChart>
    </c:plotArea>
    <c:legend>
      <c:legendPos val="b"/>
      <c:layout/>
      <c:overlay val="0"/>
    </c:legend>
    <c:plotVisOnly val="1"/>
    <c:dispBlanksAs val="gap"/>
    <c:showDLblsOverMax val="0"/>
  </c:chart>
  <c:spPr>
    <a:ln>
      <a:solidFill>
        <a:schemeClr val="bg2">
          <a:lumMod val="7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fr-FR" sz="1200"/>
              <a:t>LA MEILLEURE FAÇON DE PRÉPARER FINANCIÈREMENT SA RETRAITE</a:t>
            </a:r>
          </a:p>
          <a:p>
            <a:pPr>
              <a:defRPr/>
            </a:pPr>
            <a:r>
              <a:rPr lang="fr-FR" sz="1200"/>
              <a:t> EN % </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E71C2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'meilleur façon de préparer sa r'!$A$10:$A$13</c:f>
              <c:strCache>
                <c:ptCount val="4"/>
                <c:pt idx="0">
                  <c:v>Être propriétaire de sa résidence principale</c:v>
                </c:pt>
                <c:pt idx="1">
                  <c:v>Investir dans l'immobilier locatif</c:v>
                </c:pt>
                <c:pt idx="2">
                  <c:v>Épargner à long terme (assurance-vie…)</c:v>
                </c:pt>
                <c:pt idx="3">
                  <c:v>Épargner avec un produit d'épargne retraite</c:v>
                </c:pt>
              </c:strCache>
            </c:strRef>
          </c:cat>
          <c:val>
            <c:numRef>
              <c:f>'meilleur façon de préparer sa r'!$B$10:$B$13</c:f>
              <c:numCache>
                <c:formatCode>General</c:formatCode>
                <c:ptCount val="4"/>
                <c:pt idx="0">
                  <c:v>63</c:v>
                </c:pt>
                <c:pt idx="1">
                  <c:v>31</c:v>
                </c:pt>
                <c:pt idx="2">
                  <c:v>30</c:v>
                </c:pt>
                <c:pt idx="3">
                  <c:v>22</c:v>
                </c:pt>
              </c:numCache>
            </c:numRef>
          </c:val>
        </c:ser>
        <c:dLbls>
          <c:showLegendKey val="0"/>
          <c:showVal val="0"/>
          <c:showCatName val="0"/>
          <c:showSerName val="0"/>
          <c:showPercent val="0"/>
          <c:showBubbleSize val="0"/>
        </c:dLbls>
        <c:gapWidth val="150"/>
        <c:shape val="box"/>
        <c:axId val="383217112"/>
        <c:axId val="383222208"/>
        <c:axId val="0"/>
      </c:bar3DChart>
      <c:catAx>
        <c:axId val="383217112"/>
        <c:scaling>
          <c:orientation val="minMax"/>
        </c:scaling>
        <c:delete val="0"/>
        <c:axPos val="l"/>
        <c:numFmt formatCode="General" sourceLinked="0"/>
        <c:majorTickMark val="none"/>
        <c:minorTickMark val="none"/>
        <c:tickLblPos val="nextTo"/>
        <c:crossAx val="383222208"/>
        <c:crosses val="autoZero"/>
        <c:auto val="1"/>
        <c:lblAlgn val="r"/>
        <c:lblOffset val="100"/>
        <c:noMultiLvlLbl val="0"/>
      </c:catAx>
      <c:valAx>
        <c:axId val="383222208"/>
        <c:scaling>
          <c:orientation val="minMax"/>
        </c:scaling>
        <c:delete val="0"/>
        <c:axPos val="b"/>
        <c:majorGridlines/>
        <c:numFmt formatCode="General" sourceLinked="1"/>
        <c:majorTickMark val="none"/>
        <c:minorTickMark val="none"/>
        <c:tickLblPos val="nextTo"/>
        <c:crossAx val="383217112"/>
        <c:crosses val="autoZero"/>
        <c:crossBetween val="between"/>
      </c:valAx>
    </c:plotArea>
    <c:plotVisOnly val="1"/>
    <c:dispBlanksAs val="gap"/>
    <c:showDLblsOverMax val="0"/>
  </c:chart>
  <c:spPr>
    <a:ln>
      <a:solidFill>
        <a:schemeClr val="bg2">
          <a:lumMod val="7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200" b="1"/>
              <a:t>LES MOTIVATIONS DES FRANÇAIS DANS LEURS PLACEMENTS</a:t>
            </a:r>
          </a:p>
          <a:p>
            <a:pPr>
              <a:defRPr/>
            </a:pPr>
            <a:r>
              <a:rPr lang="fr-FR" sz="1200" b="1"/>
              <a:t>  EN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'motivation épargne '!$A$9</c:f>
              <c:strCache>
                <c:ptCount val="1"/>
                <c:pt idx="0">
                  <c:v>Immobilier</c:v>
                </c:pt>
              </c:strCache>
            </c:strRef>
          </c:tx>
          <c:spPr>
            <a:solidFill>
              <a:srgbClr val="1F5484"/>
            </a:solidFill>
          </c:spPr>
          <c:invertIfNegative val="0"/>
          <c:dLbls>
            <c:dLbl>
              <c:idx val="0"/>
              <c:layout>
                <c:manualLayout>
                  <c:x val="-2.0205356218661706E-17"/>
                  <c:y val="-2.52748389972854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838215275703463E-2"/>
                  <c:y val="-3.53847745961996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'motivation épargne '!$B$8:$D$8</c:f>
              <c:strCache>
                <c:ptCount val="3"/>
                <c:pt idx="0">
                  <c:v>Placement sûr</c:v>
                </c:pt>
                <c:pt idx="1">
                  <c:v>Préparation succession</c:v>
                </c:pt>
                <c:pt idx="2">
                  <c:v>Rendement</c:v>
                </c:pt>
              </c:strCache>
            </c:strRef>
          </c:cat>
          <c:val>
            <c:numRef>
              <c:f>'motivation épargne '!$B$9:$D$9</c:f>
              <c:numCache>
                <c:formatCode>General</c:formatCode>
                <c:ptCount val="3"/>
                <c:pt idx="0">
                  <c:v>41</c:v>
                </c:pt>
                <c:pt idx="1">
                  <c:v>41</c:v>
                </c:pt>
                <c:pt idx="2">
                  <c:v>18</c:v>
                </c:pt>
              </c:numCache>
            </c:numRef>
          </c:val>
        </c:ser>
        <c:ser>
          <c:idx val="1"/>
          <c:order val="1"/>
          <c:tx>
            <c:strRef>
              <c:f>'motivation épargne '!$A$10</c:f>
              <c:strCache>
                <c:ptCount val="1"/>
                <c:pt idx="0">
                  <c:v>Produits financiers</c:v>
                </c:pt>
              </c:strCache>
            </c:strRef>
          </c:tx>
          <c:spPr>
            <a:solidFill>
              <a:srgbClr val="E71C23"/>
            </a:solidFill>
          </c:spPr>
          <c:invertIfNegative val="0"/>
          <c:dLbls>
            <c:dLbl>
              <c:idx val="0"/>
              <c:layout>
                <c:manualLayout>
                  <c:x val="1.3225476850468975E-2"/>
                  <c:y val="-5.054967799457041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429722992213804E-2"/>
                  <c:y val="-1.01099355989141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633969133958632E-2"/>
                  <c:y val="-2.52748389972854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'motivation épargne '!$B$8:$D$8</c:f>
              <c:strCache>
                <c:ptCount val="3"/>
                <c:pt idx="0">
                  <c:v>Placement sûr</c:v>
                </c:pt>
                <c:pt idx="1">
                  <c:v>Préparation succession</c:v>
                </c:pt>
                <c:pt idx="2">
                  <c:v>Rendement</c:v>
                </c:pt>
              </c:strCache>
            </c:strRef>
          </c:cat>
          <c:val>
            <c:numRef>
              <c:f>'motivation épargne '!$B$10:$D$10</c:f>
              <c:numCache>
                <c:formatCode>General</c:formatCode>
                <c:ptCount val="3"/>
                <c:pt idx="0">
                  <c:v>35</c:v>
                </c:pt>
                <c:pt idx="1">
                  <c:v>24</c:v>
                </c:pt>
                <c:pt idx="2">
                  <c:v>41</c:v>
                </c:pt>
              </c:numCache>
            </c:numRef>
          </c:val>
        </c:ser>
        <c:dLbls>
          <c:showLegendKey val="0"/>
          <c:showVal val="0"/>
          <c:showCatName val="0"/>
          <c:showSerName val="0"/>
          <c:showPercent val="0"/>
          <c:showBubbleSize val="0"/>
        </c:dLbls>
        <c:gapWidth val="150"/>
        <c:shape val="box"/>
        <c:axId val="383223776"/>
        <c:axId val="383223384"/>
        <c:axId val="0"/>
      </c:bar3DChart>
      <c:catAx>
        <c:axId val="383223776"/>
        <c:scaling>
          <c:orientation val="minMax"/>
        </c:scaling>
        <c:delete val="0"/>
        <c:axPos val="b"/>
        <c:numFmt formatCode="General" sourceLinked="0"/>
        <c:majorTickMark val="none"/>
        <c:minorTickMark val="none"/>
        <c:tickLblPos val="nextTo"/>
        <c:crossAx val="383223384"/>
        <c:crosses val="autoZero"/>
        <c:auto val="1"/>
        <c:lblAlgn val="ctr"/>
        <c:lblOffset val="100"/>
        <c:noMultiLvlLbl val="0"/>
      </c:catAx>
      <c:valAx>
        <c:axId val="383223384"/>
        <c:scaling>
          <c:orientation val="minMax"/>
        </c:scaling>
        <c:delete val="0"/>
        <c:axPos val="l"/>
        <c:majorGridlines/>
        <c:numFmt formatCode="General" sourceLinked="1"/>
        <c:majorTickMark val="none"/>
        <c:minorTickMark val="none"/>
        <c:tickLblPos val="nextTo"/>
        <c:crossAx val="383223776"/>
        <c:crosses val="autoZero"/>
        <c:crossBetween val="between"/>
      </c:valAx>
    </c:plotArea>
    <c:legend>
      <c:legendPos val="r"/>
      <c:layout/>
      <c:overlay val="0"/>
    </c:legend>
    <c:plotVisOnly val="1"/>
    <c:dispBlanksAs val="gap"/>
    <c:showDLblsOverMax val="0"/>
  </c:chart>
  <c:spPr>
    <a:ln>
      <a:solidFill>
        <a:srgbClr val="E7E6E6">
          <a:lumMod val="75000"/>
        </a:srgbClr>
      </a:solid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Cercle de l’Épargne www.cercledelepargne.com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063657-8B9A-49DC-B32B-80587559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Words>
  <Characters>820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AG2RLM</Company>
  <LinksUpToDate>false</LinksUpToDate>
  <CharactersWithSpaces>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Crevel</dc:creator>
  <cp:lastModifiedBy>Philippe Crevel</cp:lastModifiedBy>
  <cp:revision>2</cp:revision>
  <cp:lastPrinted>2016-05-24T08:13:00Z</cp:lastPrinted>
  <dcterms:created xsi:type="dcterms:W3CDTF">2016-05-29T17:54:00Z</dcterms:created>
  <dcterms:modified xsi:type="dcterms:W3CDTF">2016-05-29T17:54:00Z</dcterms:modified>
</cp:coreProperties>
</file>