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67E0" w14:textId="77777777" w:rsidR="00B91E8B" w:rsidRPr="00C14F65" w:rsidRDefault="00B91E8B" w:rsidP="0071634D">
      <w:pPr>
        <w:pStyle w:val="Sansinterligne"/>
        <w:jc w:val="right"/>
        <w:rPr>
          <w:spacing w:val="-10"/>
          <w:sz w:val="12"/>
        </w:rPr>
      </w:pPr>
      <w:bookmarkStart w:id="0" w:name="_GoBack"/>
      <w:bookmarkEnd w:id="0"/>
    </w:p>
    <w:p w14:paraId="79413DB4" w14:textId="594644AC" w:rsidR="00E97B5C" w:rsidRPr="009F3387" w:rsidRDefault="00024CE0" w:rsidP="0071634D">
      <w:pPr>
        <w:pStyle w:val="Sansinterligne"/>
        <w:jc w:val="right"/>
        <w:rPr>
          <w:spacing w:val="-10"/>
        </w:rPr>
      </w:pPr>
      <w:r w:rsidRPr="009F3387">
        <w:rPr>
          <w:spacing w:val="-10"/>
        </w:rPr>
        <w:t xml:space="preserve">Paris, le </w:t>
      </w:r>
      <w:r w:rsidR="00A357B9" w:rsidRPr="009F3387">
        <w:rPr>
          <w:spacing w:val="-10"/>
        </w:rPr>
        <w:t>16</w:t>
      </w:r>
      <w:r w:rsidR="00572B59" w:rsidRPr="009F3387">
        <w:rPr>
          <w:spacing w:val="-10"/>
        </w:rPr>
        <w:t xml:space="preserve"> </w:t>
      </w:r>
      <w:r w:rsidR="00A357B9" w:rsidRPr="009F3387">
        <w:rPr>
          <w:spacing w:val="-10"/>
        </w:rPr>
        <w:t>avril 2019</w:t>
      </w:r>
    </w:p>
    <w:p w14:paraId="56E920B8" w14:textId="77777777" w:rsidR="00A80E76" w:rsidRPr="00C14F65" w:rsidRDefault="00A80E76" w:rsidP="0071634D">
      <w:pPr>
        <w:pStyle w:val="Sansinterligne"/>
        <w:jc w:val="right"/>
        <w:rPr>
          <w:spacing w:val="-10"/>
          <w:sz w:val="28"/>
        </w:rPr>
      </w:pPr>
    </w:p>
    <w:p w14:paraId="33F296F4" w14:textId="77777777" w:rsidR="00847445" w:rsidRPr="00C14F65" w:rsidRDefault="007A29E8" w:rsidP="00C14F65">
      <w:pPr>
        <w:spacing w:line="360" w:lineRule="auto"/>
        <w:jc w:val="center"/>
        <w:rPr>
          <w:b/>
          <w:spacing w:val="-10"/>
          <w:sz w:val="28"/>
          <w:szCs w:val="26"/>
        </w:rPr>
      </w:pPr>
      <w:r w:rsidRPr="00C14F65">
        <w:rPr>
          <w:b/>
          <w:spacing w:val="-10"/>
          <w:sz w:val="28"/>
          <w:szCs w:val="26"/>
        </w:rPr>
        <w:t xml:space="preserve">COMMUNIQUÉ </w:t>
      </w:r>
      <w:r w:rsidR="00182131" w:rsidRPr="00C14F65">
        <w:rPr>
          <w:b/>
          <w:spacing w:val="-10"/>
          <w:sz w:val="28"/>
          <w:szCs w:val="26"/>
        </w:rPr>
        <w:t>DE PRESSE</w:t>
      </w:r>
    </w:p>
    <w:p w14:paraId="1ADFAC92" w14:textId="561F9E37" w:rsidR="009D5835" w:rsidRPr="00C14F65" w:rsidRDefault="00182131" w:rsidP="00C14F65">
      <w:pPr>
        <w:spacing w:line="360" w:lineRule="auto"/>
        <w:jc w:val="center"/>
        <w:rPr>
          <w:b/>
          <w:spacing w:val="-10"/>
          <w:sz w:val="28"/>
          <w:szCs w:val="26"/>
        </w:rPr>
      </w:pPr>
      <w:r w:rsidRPr="00C14F65">
        <w:rPr>
          <w:b/>
          <w:spacing w:val="-10"/>
          <w:sz w:val="28"/>
          <w:szCs w:val="26"/>
        </w:rPr>
        <w:t>ENQU</w:t>
      </w:r>
      <w:r w:rsidR="007A29E8" w:rsidRPr="00C14F65">
        <w:rPr>
          <w:rFonts w:cs="Arial"/>
          <w:b/>
          <w:spacing w:val="-10"/>
          <w:sz w:val="28"/>
          <w:szCs w:val="26"/>
        </w:rPr>
        <w:t>Ê</w:t>
      </w:r>
      <w:r w:rsidR="009D5835" w:rsidRPr="00C14F65">
        <w:rPr>
          <w:b/>
          <w:spacing w:val="-10"/>
          <w:sz w:val="28"/>
          <w:szCs w:val="26"/>
        </w:rPr>
        <w:t>TE 201</w:t>
      </w:r>
      <w:r w:rsidR="00130594" w:rsidRPr="00C14F65">
        <w:rPr>
          <w:b/>
          <w:spacing w:val="-10"/>
          <w:sz w:val="28"/>
          <w:szCs w:val="26"/>
        </w:rPr>
        <w:t>9</w:t>
      </w:r>
    </w:p>
    <w:p w14:paraId="11EC1311" w14:textId="77777777" w:rsidR="00182131" w:rsidRPr="00C14F65" w:rsidRDefault="00712A25" w:rsidP="00C14F65">
      <w:pPr>
        <w:spacing w:line="360" w:lineRule="auto"/>
        <w:jc w:val="center"/>
        <w:rPr>
          <w:b/>
          <w:spacing w:val="-10"/>
          <w:sz w:val="28"/>
          <w:szCs w:val="26"/>
        </w:rPr>
      </w:pPr>
      <w:r w:rsidRPr="00C14F65">
        <w:rPr>
          <w:b/>
          <w:spacing w:val="-10"/>
          <w:sz w:val="28"/>
          <w:szCs w:val="26"/>
        </w:rPr>
        <w:t xml:space="preserve"> </w:t>
      </w:r>
      <w:r w:rsidR="00683F1D" w:rsidRPr="00C14F65">
        <w:rPr>
          <w:b/>
          <w:spacing w:val="-10"/>
          <w:sz w:val="28"/>
          <w:szCs w:val="26"/>
        </w:rPr>
        <w:t>C</w:t>
      </w:r>
      <w:r w:rsidR="00847445" w:rsidRPr="00C14F65">
        <w:rPr>
          <w:b/>
          <w:spacing w:val="-10"/>
          <w:sz w:val="28"/>
          <w:szCs w:val="26"/>
        </w:rPr>
        <w:t xml:space="preserve">ERCLE DE </w:t>
      </w:r>
      <w:r w:rsidR="007A29E8" w:rsidRPr="00C14F65">
        <w:rPr>
          <w:b/>
          <w:spacing w:val="-10"/>
          <w:sz w:val="28"/>
          <w:szCs w:val="26"/>
        </w:rPr>
        <w:t>L’ÉPARGNE</w:t>
      </w:r>
      <w:r w:rsidR="00503B3D" w:rsidRPr="00C14F65">
        <w:rPr>
          <w:b/>
          <w:spacing w:val="-10"/>
          <w:sz w:val="28"/>
          <w:szCs w:val="26"/>
        </w:rPr>
        <w:t xml:space="preserve"> /</w:t>
      </w:r>
      <w:r w:rsidR="00683F1D" w:rsidRPr="00C14F65">
        <w:rPr>
          <w:b/>
          <w:spacing w:val="-10"/>
          <w:sz w:val="28"/>
          <w:szCs w:val="26"/>
        </w:rPr>
        <w:t xml:space="preserve"> AMPHITÉA</w:t>
      </w:r>
      <w:r w:rsidR="007A52A6" w:rsidRPr="00C14F65">
        <w:rPr>
          <w:b/>
          <w:color w:val="E81C23"/>
          <w:spacing w:val="-10"/>
          <w:sz w:val="28"/>
          <w:szCs w:val="26"/>
        </w:rPr>
        <w:t>*</w:t>
      </w:r>
    </w:p>
    <w:p w14:paraId="599F5512" w14:textId="4E3F2158" w:rsidR="00384100" w:rsidRPr="00C14F65" w:rsidRDefault="00852DFB" w:rsidP="00C14F65">
      <w:pPr>
        <w:pBdr>
          <w:bottom w:val="single" w:sz="4" w:space="1" w:color="auto"/>
        </w:pBdr>
        <w:spacing w:line="360" w:lineRule="auto"/>
        <w:jc w:val="center"/>
        <w:rPr>
          <w:b/>
          <w:spacing w:val="-10"/>
          <w:sz w:val="28"/>
          <w:szCs w:val="26"/>
        </w:rPr>
      </w:pPr>
      <w:r w:rsidRPr="00C14F65">
        <w:rPr>
          <w:b/>
          <w:spacing w:val="-10"/>
          <w:sz w:val="28"/>
          <w:szCs w:val="26"/>
        </w:rPr>
        <w:t>« </w:t>
      </w:r>
      <w:r w:rsidR="007A29E8" w:rsidRPr="00C14F65">
        <w:rPr>
          <w:b/>
          <w:spacing w:val="-10"/>
          <w:sz w:val="28"/>
          <w:szCs w:val="26"/>
        </w:rPr>
        <w:t xml:space="preserve">LES FRANÇAIS, </w:t>
      </w:r>
      <w:r w:rsidR="004A4737" w:rsidRPr="00C14F65">
        <w:rPr>
          <w:b/>
          <w:spacing w:val="-10"/>
          <w:sz w:val="28"/>
          <w:szCs w:val="26"/>
        </w:rPr>
        <w:t>LA RETRAITE ET L’ÉPARGNE</w:t>
      </w:r>
      <w:r w:rsidR="00AB0CA4" w:rsidRPr="00C14F65">
        <w:rPr>
          <w:b/>
          <w:spacing w:val="-10"/>
          <w:sz w:val="28"/>
          <w:szCs w:val="26"/>
        </w:rPr>
        <w:t> </w:t>
      </w:r>
      <w:r w:rsidRPr="00C14F65">
        <w:rPr>
          <w:b/>
          <w:spacing w:val="-10"/>
          <w:sz w:val="28"/>
          <w:szCs w:val="26"/>
        </w:rPr>
        <w:t>»</w:t>
      </w:r>
    </w:p>
    <w:p w14:paraId="679BD92D" w14:textId="77777777" w:rsidR="009B0B2E" w:rsidRPr="00F20F8A" w:rsidRDefault="009B0B2E" w:rsidP="00F20F8A">
      <w:pPr>
        <w:pStyle w:val="Sansinterligne"/>
        <w:rPr>
          <w:sz w:val="14"/>
        </w:rPr>
      </w:pPr>
    </w:p>
    <w:p w14:paraId="7A0BBB6A" w14:textId="77777777" w:rsidR="009F3387" w:rsidRPr="00C14F65" w:rsidRDefault="009F3387" w:rsidP="0071634D">
      <w:pPr>
        <w:jc w:val="center"/>
        <w:rPr>
          <w:b/>
          <w:color w:val="E81C23" w:themeColor="accent1"/>
          <w:spacing w:val="-10"/>
          <w:sz w:val="14"/>
        </w:rPr>
      </w:pPr>
    </w:p>
    <w:p w14:paraId="736F523A" w14:textId="0631BE41" w:rsidR="00ED6F8B" w:rsidRPr="00C14F65" w:rsidRDefault="002427DD" w:rsidP="0071634D">
      <w:pPr>
        <w:jc w:val="center"/>
        <w:rPr>
          <w:b/>
          <w:color w:val="E81C23" w:themeColor="accent1"/>
          <w:spacing w:val="-10"/>
          <w:sz w:val="28"/>
        </w:rPr>
      </w:pPr>
      <w:r w:rsidRPr="00C14F65">
        <w:rPr>
          <w:b/>
          <w:color w:val="E81C23" w:themeColor="accent1"/>
          <w:spacing w:val="-10"/>
          <w:sz w:val="28"/>
        </w:rPr>
        <w:t>L</w:t>
      </w:r>
      <w:r w:rsidR="00DE5147" w:rsidRPr="00C14F65">
        <w:rPr>
          <w:b/>
          <w:color w:val="E81C23" w:themeColor="accent1"/>
          <w:spacing w:val="-10"/>
          <w:sz w:val="28"/>
        </w:rPr>
        <w:t xml:space="preserve">ES </w:t>
      </w:r>
      <w:r w:rsidR="006222F0" w:rsidRPr="00C14F65">
        <w:rPr>
          <w:b/>
          <w:color w:val="E81C23" w:themeColor="accent1"/>
          <w:spacing w:val="-10"/>
          <w:sz w:val="28"/>
        </w:rPr>
        <w:t xml:space="preserve">5 </w:t>
      </w:r>
      <w:r w:rsidR="00DE5147" w:rsidRPr="00C14F65">
        <w:rPr>
          <w:b/>
          <w:color w:val="E81C23" w:themeColor="accent1"/>
          <w:spacing w:val="-10"/>
          <w:sz w:val="28"/>
        </w:rPr>
        <w:t xml:space="preserve">CHIFFRES </w:t>
      </w:r>
      <w:r w:rsidR="007872DA" w:rsidRPr="00C14F65">
        <w:rPr>
          <w:b/>
          <w:color w:val="E81C23" w:themeColor="accent1"/>
          <w:spacing w:val="-10"/>
          <w:sz w:val="28"/>
        </w:rPr>
        <w:t>CL</w:t>
      </w:r>
      <w:r w:rsidR="007872DA" w:rsidRPr="00C14F65">
        <w:rPr>
          <w:rFonts w:cs="Arial"/>
          <w:b/>
          <w:color w:val="E81C23" w:themeColor="accent1"/>
          <w:spacing w:val="-10"/>
          <w:sz w:val="28"/>
        </w:rPr>
        <w:t>É</w:t>
      </w:r>
      <w:r w:rsidR="007872DA" w:rsidRPr="00C14F65">
        <w:rPr>
          <w:b/>
          <w:color w:val="E81C23" w:themeColor="accent1"/>
          <w:spacing w:val="-10"/>
          <w:sz w:val="28"/>
        </w:rPr>
        <w:t xml:space="preserve">S </w:t>
      </w:r>
      <w:r w:rsidR="00EB574F" w:rsidRPr="00C14F65">
        <w:rPr>
          <w:b/>
          <w:color w:val="E81C23" w:themeColor="accent1"/>
          <w:spacing w:val="-10"/>
          <w:sz w:val="28"/>
        </w:rPr>
        <w:t>201</w:t>
      </w:r>
      <w:r w:rsidR="000C4A2E" w:rsidRPr="00C14F65">
        <w:rPr>
          <w:b/>
          <w:color w:val="E81C23" w:themeColor="accent1"/>
          <w:spacing w:val="-10"/>
          <w:sz w:val="28"/>
        </w:rPr>
        <w:t>9</w:t>
      </w:r>
    </w:p>
    <w:p w14:paraId="2A17EF01" w14:textId="4D8ADC1A" w:rsidR="002624BA" w:rsidRPr="00C14F65" w:rsidRDefault="002624BA" w:rsidP="0071634D">
      <w:pPr>
        <w:jc w:val="center"/>
        <w:rPr>
          <w:b/>
          <w:color w:val="E81C23" w:themeColor="accent1"/>
          <w:spacing w:val="-10"/>
          <w:sz w:val="20"/>
        </w:rPr>
      </w:pPr>
    </w:p>
    <w:p w14:paraId="10B27E7F" w14:textId="066CD67E" w:rsidR="000561AA" w:rsidRPr="009F3387" w:rsidRDefault="00C87C22" w:rsidP="00585F52">
      <w:pPr>
        <w:pStyle w:val="Paragraphedeliste"/>
        <w:numPr>
          <w:ilvl w:val="0"/>
          <w:numId w:val="20"/>
        </w:numPr>
        <w:rPr>
          <w:spacing w:val="-10"/>
        </w:rPr>
      </w:pPr>
      <w:r w:rsidRPr="009F3387">
        <w:rPr>
          <w:b/>
          <w:color w:val="E81C23" w:themeColor="accent1"/>
          <w:spacing w:val="-10"/>
        </w:rPr>
        <w:t xml:space="preserve">69 </w:t>
      </w:r>
      <w:r w:rsidR="00773A9F" w:rsidRPr="009F3387">
        <w:rPr>
          <w:b/>
          <w:color w:val="E81C23" w:themeColor="accent1"/>
          <w:spacing w:val="-10"/>
        </w:rPr>
        <w:t>%</w:t>
      </w:r>
      <w:r w:rsidR="00773A9F" w:rsidRPr="009F3387">
        <w:rPr>
          <w:color w:val="E81C23" w:themeColor="accent1"/>
          <w:spacing w:val="-10"/>
        </w:rPr>
        <w:t xml:space="preserve"> </w:t>
      </w:r>
      <w:r w:rsidR="00773A9F" w:rsidRPr="009F3387">
        <w:rPr>
          <w:spacing w:val="-10"/>
        </w:rPr>
        <w:t xml:space="preserve">des Français pensent que leur pension est ou sera </w:t>
      </w:r>
      <w:r w:rsidRPr="009F3387">
        <w:rPr>
          <w:spacing w:val="-10"/>
        </w:rPr>
        <w:t>in</w:t>
      </w:r>
      <w:r w:rsidR="00773A9F" w:rsidRPr="009F3387">
        <w:rPr>
          <w:spacing w:val="-10"/>
        </w:rPr>
        <w:t>suffisante pour vivre correctement</w:t>
      </w:r>
    </w:p>
    <w:p w14:paraId="1A01E559" w14:textId="20F3AABB" w:rsidR="00C87C22" w:rsidRPr="009F3387" w:rsidRDefault="00C87C22" w:rsidP="00585F52">
      <w:pPr>
        <w:pStyle w:val="Paragraphedeliste"/>
        <w:numPr>
          <w:ilvl w:val="0"/>
          <w:numId w:val="20"/>
        </w:numPr>
        <w:rPr>
          <w:spacing w:val="-10"/>
        </w:rPr>
      </w:pPr>
      <w:r w:rsidRPr="009F3387">
        <w:rPr>
          <w:b/>
          <w:color w:val="E81C23" w:themeColor="accent1"/>
          <w:spacing w:val="-10"/>
        </w:rPr>
        <w:t>62 %</w:t>
      </w:r>
      <w:r w:rsidRPr="009F3387">
        <w:rPr>
          <w:color w:val="E81C23" w:themeColor="accent1"/>
          <w:spacing w:val="-10"/>
        </w:rPr>
        <w:t xml:space="preserve"> </w:t>
      </w:r>
      <w:r w:rsidR="00D55D8E" w:rsidRPr="009F3387">
        <w:rPr>
          <w:spacing w:val="-10"/>
        </w:rPr>
        <w:t>d</w:t>
      </w:r>
      <w:r w:rsidRPr="009F3387">
        <w:rPr>
          <w:spacing w:val="-10"/>
        </w:rPr>
        <w:t xml:space="preserve">es Français veulent que les partenaires sociaux </w:t>
      </w:r>
      <w:r w:rsidR="00D55D8E" w:rsidRPr="009F3387">
        <w:rPr>
          <w:spacing w:val="-10"/>
        </w:rPr>
        <w:t xml:space="preserve">gèrent le futur régime universel </w:t>
      </w:r>
    </w:p>
    <w:p w14:paraId="63B00D79" w14:textId="7401C80D" w:rsidR="00C637AB" w:rsidRDefault="002624BA" w:rsidP="00C87C22">
      <w:pPr>
        <w:pStyle w:val="Paragraphedeliste"/>
        <w:numPr>
          <w:ilvl w:val="0"/>
          <w:numId w:val="20"/>
        </w:numPr>
        <w:rPr>
          <w:spacing w:val="-10"/>
        </w:rPr>
      </w:pPr>
      <w:r w:rsidRPr="009F3387">
        <w:rPr>
          <w:b/>
          <w:color w:val="E81C23" w:themeColor="accent1"/>
          <w:spacing w:val="-10"/>
        </w:rPr>
        <w:t>48 %</w:t>
      </w:r>
      <w:r w:rsidRPr="009F3387">
        <w:rPr>
          <w:spacing w:val="-10"/>
        </w:rPr>
        <w:t xml:space="preserve"> des Français </w:t>
      </w:r>
      <w:r w:rsidR="009B0B2E" w:rsidRPr="009F3387">
        <w:rPr>
          <w:spacing w:val="-10"/>
        </w:rPr>
        <w:t xml:space="preserve">sont favorables à </w:t>
      </w:r>
      <w:r w:rsidRPr="009F3387">
        <w:rPr>
          <w:spacing w:val="-10"/>
        </w:rPr>
        <w:t>un régime universel avec prise en compte de particularités</w:t>
      </w:r>
    </w:p>
    <w:p w14:paraId="11038FF2" w14:textId="5AAD7FEC" w:rsidR="00585F52" w:rsidRPr="009F3387" w:rsidRDefault="00585F52" w:rsidP="00C87C22">
      <w:pPr>
        <w:pStyle w:val="Paragraphedeliste"/>
        <w:numPr>
          <w:ilvl w:val="0"/>
          <w:numId w:val="20"/>
        </w:numPr>
        <w:rPr>
          <w:spacing w:val="-10"/>
        </w:rPr>
      </w:pPr>
      <w:r w:rsidRPr="009F3387">
        <w:rPr>
          <w:b/>
          <w:color w:val="E81C23" w:themeColor="accent1"/>
          <w:spacing w:val="-10"/>
        </w:rPr>
        <w:t>18 %</w:t>
      </w:r>
      <w:r w:rsidRPr="009F3387">
        <w:rPr>
          <w:spacing w:val="-10"/>
        </w:rPr>
        <w:t xml:space="preserve"> sont pour le maintien du régime actuel</w:t>
      </w:r>
      <w:r w:rsidR="00C637AB">
        <w:rPr>
          <w:spacing w:val="-10"/>
        </w:rPr>
        <w:t xml:space="preserve"> de retraite</w:t>
      </w:r>
    </w:p>
    <w:p w14:paraId="41F5838F" w14:textId="4C0AFECB" w:rsidR="007B628C" w:rsidRPr="009F3387" w:rsidRDefault="00D106C0" w:rsidP="003E48E6">
      <w:pPr>
        <w:pStyle w:val="Paragraphedeliste"/>
        <w:numPr>
          <w:ilvl w:val="0"/>
          <w:numId w:val="20"/>
        </w:numPr>
        <w:rPr>
          <w:spacing w:val="-10"/>
        </w:rPr>
      </w:pPr>
      <w:r w:rsidRPr="009F3387">
        <w:rPr>
          <w:b/>
          <w:color w:val="E81C23" w:themeColor="accent1"/>
          <w:spacing w:val="-10"/>
        </w:rPr>
        <w:t>45 %</w:t>
      </w:r>
      <w:r w:rsidRPr="009F3387">
        <w:rPr>
          <w:spacing w:val="-10"/>
        </w:rPr>
        <w:t xml:space="preserve"> des 50/64 ans</w:t>
      </w:r>
      <w:r w:rsidR="009B0B2E" w:rsidRPr="009F3387">
        <w:rPr>
          <w:spacing w:val="-10"/>
        </w:rPr>
        <w:t xml:space="preserve"> soutiennent l’</w:t>
      </w:r>
      <w:r w:rsidR="003D6C27" w:rsidRPr="009F3387">
        <w:rPr>
          <w:spacing w:val="-10"/>
        </w:rPr>
        <w:t>introduction</w:t>
      </w:r>
      <w:r w:rsidR="009B0B2E" w:rsidRPr="009F3387">
        <w:rPr>
          <w:spacing w:val="-10"/>
        </w:rPr>
        <w:t xml:space="preserve"> d’</w:t>
      </w:r>
      <w:r w:rsidRPr="009F3387">
        <w:rPr>
          <w:spacing w:val="-10"/>
        </w:rPr>
        <w:t xml:space="preserve">une assurance dépendance obligatoire </w:t>
      </w:r>
    </w:p>
    <w:p w14:paraId="329AD86C" w14:textId="77777777" w:rsidR="009F3387" w:rsidRPr="009F3387" w:rsidRDefault="009F3387" w:rsidP="0071634D">
      <w:pPr>
        <w:rPr>
          <w:spacing w:val="-10"/>
        </w:rPr>
      </w:pPr>
    </w:p>
    <w:p w14:paraId="1D655183" w14:textId="3D5C65DB" w:rsidR="00F37BC8" w:rsidRPr="00C14F65" w:rsidRDefault="008D53B0" w:rsidP="00D057AA">
      <w:pPr>
        <w:pStyle w:val="Titre1"/>
        <w:pBdr>
          <w:bottom w:val="single" w:sz="4" w:space="1" w:color="auto"/>
        </w:pBdr>
        <w:rPr>
          <w:spacing w:val="-10"/>
          <w:sz w:val="28"/>
        </w:rPr>
      </w:pPr>
      <w:r w:rsidRPr="00C14F65">
        <w:rPr>
          <w:spacing w:val="-10"/>
          <w:sz w:val="28"/>
        </w:rPr>
        <w:t>QUEL SYST</w:t>
      </w:r>
      <w:r w:rsidR="00C871F6" w:rsidRPr="00C14F65">
        <w:rPr>
          <w:spacing w:val="-10"/>
          <w:sz w:val="28"/>
        </w:rPr>
        <w:t>È</w:t>
      </w:r>
      <w:r w:rsidRPr="00C14F65">
        <w:rPr>
          <w:spacing w:val="-10"/>
          <w:sz w:val="28"/>
        </w:rPr>
        <w:t>ME DE RETRAITE SOUHAITENT LES FRANÇAIS ?</w:t>
      </w:r>
    </w:p>
    <w:p w14:paraId="527C0165" w14:textId="77777777" w:rsidR="007B628C" w:rsidRPr="009F3387" w:rsidRDefault="007B628C" w:rsidP="0071634D">
      <w:pPr>
        <w:rPr>
          <w:spacing w:val="-10"/>
        </w:rPr>
      </w:pPr>
    </w:p>
    <w:p w14:paraId="47328F87" w14:textId="013FE616" w:rsidR="00F37BC8" w:rsidRPr="009F3387" w:rsidRDefault="008D53B0" w:rsidP="00F37BC8">
      <w:pPr>
        <w:rPr>
          <w:b/>
          <w:color w:val="000000" w:themeColor="text1"/>
          <w:spacing w:val="-10"/>
        </w:rPr>
      </w:pPr>
      <w:r w:rsidRPr="009F3387">
        <w:rPr>
          <w:b/>
          <w:color w:val="000000" w:themeColor="text1"/>
          <w:spacing w:val="-10"/>
        </w:rPr>
        <w:t xml:space="preserve">Les Français </w:t>
      </w:r>
      <w:r w:rsidR="00C871F6">
        <w:rPr>
          <w:b/>
          <w:color w:val="000000" w:themeColor="text1"/>
          <w:spacing w:val="-10"/>
        </w:rPr>
        <w:t>favorable</w:t>
      </w:r>
      <w:r w:rsidR="00EC6B0D">
        <w:rPr>
          <w:b/>
          <w:color w:val="000000" w:themeColor="text1"/>
          <w:spacing w:val="-10"/>
        </w:rPr>
        <w:t>s</w:t>
      </w:r>
      <w:r w:rsidR="00C871F6">
        <w:rPr>
          <w:b/>
          <w:color w:val="000000" w:themeColor="text1"/>
          <w:spacing w:val="-10"/>
        </w:rPr>
        <w:t xml:space="preserve"> à</w:t>
      </w:r>
      <w:r w:rsidR="00F37BC8" w:rsidRPr="009F3387">
        <w:rPr>
          <w:b/>
          <w:color w:val="000000" w:themeColor="text1"/>
          <w:spacing w:val="-10"/>
        </w:rPr>
        <w:t xml:space="preserve"> un régime universel à la carte </w:t>
      </w:r>
    </w:p>
    <w:p w14:paraId="79B9052E" w14:textId="08E34B5B" w:rsidR="00F37BC8" w:rsidRPr="00F20F8A" w:rsidRDefault="00F37BC8" w:rsidP="00F37BC8">
      <w:pPr>
        <w:rPr>
          <w:spacing w:val="-10"/>
          <w:sz w:val="18"/>
        </w:rPr>
      </w:pPr>
    </w:p>
    <w:p w14:paraId="10883AF8" w14:textId="4E0B0839" w:rsidR="00F37BC8" w:rsidRPr="009F3387" w:rsidRDefault="00F37BC8" w:rsidP="00F37BC8">
      <w:pPr>
        <w:rPr>
          <w:spacing w:val="-10"/>
        </w:rPr>
      </w:pPr>
      <w:r w:rsidRPr="009F3387">
        <w:rPr>
          <w:spacing w:val="-10"/>
        </w:rPr>
        <w:t xml:space="preserve">Près de la moitié des sondés sont pour la mise en place d’un régime universel qui prendrait en compte certaines particularités. </w:t>
      </w:r>
      <w:r w:rsidRPr="009F3387">
        <w:rPr>
          <w:b/>
          <w:color w:val="1F5584" w:themeColor="accent2"/>
          <w:spacing w:val="-10"/>
        </w:rPr>
        <w:t>Ainsi, 48 % des Français se prononcent en faveur d’un régime universel intégrant certaines spécificités</w:t>
      </w:r>
      <w:r w:rsidRPr="009F3387">
        <w:rPr>
          <w:color w:val="1F5584" w:themeColor="accent2"/>
          <w:spacing w:val="-10"/>
        </w:rPr>
        <w:t xml:space="preserve"> </w:t>
      </w:r>
      <w:r w:rsidRPr="009F3387">
        <w:rPr>
          <w:spacing w:val="-10"/>
        </w:rPr>
        <w:t xml:space="preserve">(pénibilité, missions de nuit ou dangereuses, etc.). 34 % des Français sont pour l’application d’un régime universel total </w:t>
      </w:r>
      <w:r w:rsidR="0090416B" w:rsidRPr="009F3387">
        <w:rPr>
          <w:spacing w:val="-10"/>
        </w:rPr>
        <w:t xml:space="preserve">visant à traiter </w:t>
      </w:r>
      <w:r w:rsidRPr="009F3387">
        <w:rPr>
          <w:spacing w:val="-10"/>
        </w:rPr>
        <w:t>tous les assurés de manière identique. En revanche, seuls 18 % des sondés</w:t>
      </w:r>
      <w:r w:rsidR="005363A4" w:rsidRPr="009F3387">
        <w:rPr>
          <w:spacing w:val="-10"/>
        </w:rPr>
        <w:t xml:space="preserve"> </w:t>
      </w:r>
      <w:r w:rsidRPr="009F3387">
        <w:rPr>
          <w:spacing w:val="-10"/>
        </w:rPr>
        <w:t>sont pour le statu quo.</w:t>
      </w:r>
    </w:p>
    <w:p w14:paraId="4A08BF6E" w14:textId="6E7BBB4B" w:rsidR="00F37BC8" w:rsidRPr="009F3387" w:rsidRDefault="0090416B" w:rsidP="00FA4CDB">
      <w:pPr>
        <w:jc w:val="left"/>
        <w:rPr>
          <w:noProof/>
          <w:spacing w:val="-10"/>
        </w:rPr>
      </w:pPr>
      <w:r w:rsidRPr="00F20F8A">
        <w:rPr>
          <w:noProof/>
          <w:spacing w:val="-10"/>
          <w:sz w:val="16"/>
        </w:rPr>
        <w:t xml:space="preserve"> </w:t>
      </w:r>
      <w:r w:rsidRPr="009F3387">
        <w:rPr>
          <w:noProof/>
          <w:spacing w:val="-10"/>
          <w:lang w:eastAsia="fr-FR"/>
        </w:rPr>
        <w:drawing>
          <wp:inline distT="0" distB="0" distL="0" distR="0" wp14:anchorId="5CEEEA31" wp14:editId="3C08A79D">
            <wp:extent cx="5759450" cy="2160000"/>
            <wp:effectExtent l="0" t="0" r="12700" b="12065"/>
            <wp:docPr id="25" name="Graphique 25">
              <a:extLst xmlns:a="http://schemas.openxmlformats.org/drawingml/2006/main">
                <a:ext uri="{FF2B5EF4-FFF2-40B4-BE49-F238E27FC236}">
                  <a16:creationId xmlns:a16="http://schemas.microsoft.com/office/drawing/2014/main" id="{9F350346-A391-DB4F-B1C2-0DDFEEB8A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DCB092" w14:textId="4D115FAB" w:rsidR="007B628C" w:rsidRDefault="007B628C" w:rsidP="007B628C">
      <w:pPr>
        <w:rPr>
          <w:spacing w:val="-10"/>
          <w:sz w:val="15"/>
        </w:rPr>
      </w:pPr>
      <w:r w:rsidRPr="009F3387">
        <w:rPr>
          <w:spacing w:val="-10"/>
          <w:sz w:val="15"/>
        </w:rPr>
        <w:t>Source : Cercle de l’Épargne / Amphitéa / CECOP/IFOP</w:t>
      </w:r>
    </w:p>
    <w:p w14:paraId="15D53504" w14:textId="77777777" w:rsidR="00B0551B" w:rsidRPr="009F3387" w:rsidRDefault="00B0551B" w:rsidP="007B628C">
      <w:pPr>
        <w:rPr>
          <w:spacing w:val="-10"/>
          <w:sz w:val="15"/>
        </w:rPr>
      </w:pPr>
    </w:p>
    <w:p w14:paraId="05457102" w14:textId="142A33FD" w:rsidR="00F37BC8" w:rsidRPr="009F3387" w:rsidRDefault="00F37BC8" w:rsidP="00F37BC8">
      <w:pPr>
        <w:rPr>
          <w:spacing w:val="-10"/>
        </w:rPr>
      </w:pPr>
      <w:r w:rsidRPr="009F3387">
        <w:rPr>
          <w:spacing w:val="-10"/>
        </w:rPr>
        <w:t xml:space="preserve">Les retraités, les fonctionnaires et les salariés </w:t>
      </w:r>
      <w:r w:rsidR="0090416B" w:rsidRPr="009F3387">
        <w:rPr>
          <w:spacing w:val="-10"/>
        </w:rPr>
        <w:t xml:space="preserve">des </w:t>
      </w:r>
      <w:r w:rsidRPr="009F3387">
        <w:rPr>
          <w:spacing w:val="-10"/>
        </w:rPr>
        <w:t>entreprise</w:t>
      </w:r>
      <w:r w:rsidR="0090416B" w:rsidRPr="009F3387">
        <w:rPr>
          <w:spacing w:val="-10"/>
        </w:rPr>
        <w:t>s</w:t>
      </w:r>
      <w:r w:rsidRPr="009F3387">
        <w:rPr>
          <w:spacing w:val="-10"/>
        </w:rPr>
        <w:t xml:space="preserve"> publiques</w:t>
      </w:r>
      <w:r w:rsidR="003B2773">
        <w:rPr>
          <w:spacing w:val="-10"/>
        </w:rPr>
        <w:t xml:space="preserve"> craignant figurer parmi les perdants de la réforme en cas d’unification totale</w:t>
      </w:r>
      <w:r w:rsidR="005B28CE" w:rsidRPr="009F3387">
        <w:rPr>
          <w:spacing w:val="-10"/>
        </w:rPr>
        <w:t>,</w:t>
      </w:r>
      <w:r w:rsidRPr="009F3387">
        <w:rPr>
          <w:spacing w:val="-10"/>
        </w:rPr>
        <w:t xml:space="preserve"> sont les plus enclins au statu quo. </w:t>
      </w:r>
      <w:r w:rsidR="00E24CAC" w:rsidRPr="009F3387">
        <w:rPr>
          <w:spacing w:val="-10"/>
        </w:rPr>
        <w:t xml:space="preserve">Les </w:t>
      </w:r>
      <w:r w:rsidR="00E24CAC" w:rsidRPr="009F3387">
        <w:rPr>
          <w:spacing w:val="-10"/>
        </w:rPr>
        <w:lastRenderedPageBreak/>
        <w:t>fonctionnaires et les salariés des entreprises publiques ne sont respectivement que 21 et 25 % à souhaiter l’avènement d’un régime universel « pur ».</w:t>
      </w:r>
    </w:p>
    <w:p w14:paraId="3974B981" w14:textId="77777777" w:rsidR="003E48E6" w:rsidRPr="009F3387" w:rsidRDefault="003E48E6" w:rsidP="00F37BC8">
      <w:pPr>
        <w:rPr>
          <w:spacing w:val="-10"/>
        </w:rPr>
      </w:pPr>
    </w:p>
    <w:p w14:paraId="55B453E8" w14:textId="44A767FF" w:rsidR="00F37BC8" w:rsidRPr="009F3387" w:rsidRDefault="00E24CAC" w:rsidP="00F37BC8">
      <w:pPr>
        <w:rPr>
          <w:b/>
          <w:color w:val="000000" w:themeColor="text1"/>
          <w:spacing w:val="-10"/>
        </w:rPr>
      </w:pPr>
      <w:r w:rsidRPr="009F3387">
        <w:rPr>
          <w:b/>
          <w:color w:val="000000" w:themeColor="text1"/>
          <w:spacing w:val="-10"/>
        </w:rPr>
        <w:t>Les Français dubitatifs face au</w:t>
      </w:r>
      <w:r w:rsidR="009B0B2E" w:rsidRPr="009F3387">
        <w:rPr>
          <w:b/>
          <w:color w:val="000000" w:themeColor="text1"/>
          <w:spacing w:val="-10"/>
        </w:rPr>
        <w:t>x</w:t>
      </w:r>
      <w:r w:rsidRPr="009F3387">
        <w:rPr>
          <w:b/>
          <w:color w:val="000000" w:themeColor="text1"/>
          <w:spacing w:val="-10"/>
        </w:rPr>
        <w:t xml:space="preserve"> </w:t>
      </w:r>
      <w:r w:rsidR="008D53B0" w:rsidRPr="009F3387">
        <w:rPr>
          <w:b/>
          <w:color w:val="000000" w:themeColor="text1"/>
          <w:spacing w:val="-10"/>
        </w:rPr>
        <w:t>intentions réelles des pouvoirs publics</w:t>
      </w:r>
    </w:p>
    <w:p w14:paraId="0203C68C" w14:textId="77777777" w:rsidR="00F37BC8" w:rsidRPr="00F20F8A" w:rsidRDefault="00F37BC8" w:rsidP="00F37BC8">
      <w:pPr>
        <w:rPr>
          <w:spacing w:val="-10"/>
          <w:sz w:val="16"/>
        </w:rPr>
      </w:pPr>
    </w:p>
    <w:p w14:paraId="65E4A579" w14:textId="69999CE6" w:rsidR="00F37BC8" w:rsidRDefault="00F37BC8" w:rsidP="00F37BC8">
      <w:pPr>
        <w:rPr>
          <w:spacing w:val="-10"/>
        </w:rPr>
      </w:pPr>
      <w:r w:rsidRPr="009F3387">
        <w:rPr>
          <w:b/>
          <w:color w:val="1F5584" w:themeColor="accent2"/>
          <w:spacing w:val="-10"/>
        </w:rPr>
        <w:t>Seuls 34 % des Français considèrent que le futur système de retraite respectera l’engagement présidentiel, « </w:t>
      </w:r>
      <w:r w:rsidRPr="003B2773">
        <w:rPr>
          <w:b/>
          <w:i/>
          <w:color w:val="1F5584" w:themeColor="accent2"/>
          <w:spacing w:val="-10"/>
        </w:rPr>
        <w:t>un euro cotisé donnera les mêmes droits pour tous</w:t>
      </w:r>
      <w:r w:rsidRPr="009F3387">
        <w:rPr>
          <w:b/>
          <w:color w:val="1F5584" w:themeColor="accent2"/>
          <w:spacing w:val="-10"/>
        </w:rPr>
        <w:t xml:space="preserve"> ». </w:t>
      </w:r>
      <w:r w:rsidRPr="009F3387">
        <w:rPr>
          <w:spacing w:val="-10"/>
        </w:rPr>
        <w:t xml:space="preserve">En revanche, ils sont 37 % à penser que les pouvoirs publics veulent profiter de cette réforme pour reculer l’âge effectif de départ à la retraite. Ce jugement est partagé par 52 % des fonctionnaires. Par ailleurs, 29 % des Français estiment que l’objectif </w:t>
      </w:r>
      <w:r w:rsidR="005363A4" w:rsidRPr="009F3387">
        <w:rPr>
          <w:spacing w:val="-10"/>
        </w:rPr>
        <w:t xml:space="preserve">de la réforme </w:t>
      </w:r>
      <w:r w:rsidRPr="009F3387">
        <w:rPr>
          <w:spacing w:val="-10"/>
        </w:rPr>
        <w:t>est la réduction des pensions.</w:t>
      </w:r>
    </w:p>
    <w:p w14:paraId="45252089" w14:textId="36EB05AC" w:rsidR="00C637AB" w:rsidRDefault="00C637AB" w:rsidP="00F37BC8">
      <w:pPr>
        <w:rPr>
          <w:spacing w:val="-10"/>
        </w:rPr>
      </w:pPr>
    </w:p>
    <w:p w14:paraId="19B2B9AA" w14:textId="7089D241" w:rsidR="007B628C" w:rsidRPr="009F3387" w:rsidRDefault="00C637AB" w:rsidP="007B628C">
      <w:pPr>
        <w:rPr>
          <w:spacing w:val="-10"/>
          <w:sz w:val="15"/>
        </w:rPr>
      </w:pPr>
      <w:r w:rsidRPr="00C637AB">
        <w:rPr>
          <w:b/>
          <w:noProof/>
          <w:color w:val="FFFFFF" w:themeColor="background1"/>
        </w:rPr>
        <w:drawing>
          <wp:inline distT="0" distB="0" distL="0" distR="0" wp14:anchorId="4F7C4000" wp14:editId="17A3C6EA">
            <wp:extent cx="5760720" cy="2304000"/>
            <wp:effectExtent l="0" t="0" r="11430" b="1270"/>
            <wp:docPr id="11" name="Graphique 11">
              <a:extLst xmlns:a="http://schemas.openxmlformats.org/drawingml/2006/main">
                <a:ext uri="{FF2B5EF4-FFF2-40B4-BE49-F238E27FC236}">
                  <a16:creationId xmlns:a16="http://schemas.microsoft.com/office/drawing/2014/main" id="{2A578AD4-F0D6-0341-9833-EAFC32075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B628C" w:rsidRPr="009F3387">
        <w:rPr>
          <w:spacing w:val="-10"/>
          <w:sz w:val="15"/>
        </w:rPr>
        <w:t>Source : Cercle de l’Épargne / Amphitéa / CECOP/IFOP</w:t>
      </w:r>
    </w:p>
    <w:p w14:paraId="70D56DEA" w14:textId="77777777" w:rsidR="00C637AB" w:rsidRDefault="00C637AB" w:rsidP="00F37BC8">
      <w:pPr>
        <w:rPr>
          <w:b/>
          <w:spacing w:val="-10"/>
        </w:rPr>
      </w:pPr>
    </w:p>
    <w:p w14:paraId="4E567F8F" w14:textId="354345B1" w:rsidR="00F37BC8" w:rsidRPr="009F3387" w:rsidRDefault="00F37BC8" w:rsidP="00F37BC8">
      <w:pPr>
        <w:rPr>
          <w:b/>
          <w:spacing w:val="-10"/>
        </w:rPr>
      </w:pPr>
      <w:r w:rsidRPr="009F3387">
        <w:rPr>
          <w:b/>
          <w:spacing w:val="-10"/>
        </w:rPr>
        <w:t>Le paritarisme comme mode de gestion souhaité par les Français</w:t>
      </w:r>
    </w:p>
    <w:p w14:paraId="676870A1" w14:textId="77777777" w:rsidR="00F37BC8" w:rsidRPr="009F3387" w:rsidRDefault="00F37BC8" w:rsidP="00F37BC8">
      <w:pPr>
        <w:rPr>
          <w:spacing w:val="-10"/>
        </w:rPr>
      </w:pPr>
    </w:p>
    <w:p w14:paraId="2CB5CEF8" w14:textId="502D0851" w:rsidR="00F37BC8" w:rsidRPr="009F3387" w:rsidRDefault="00EC6B0D" w:rsidP="00F37BC8">
      <w:pPr>
        <w:rPr>
          <w:spacing w:val="-10"/>
        </w:rPr>
      </w:pPr>
      <w:r w:rsidRPr="009F3387">
        <w:rPr>
          <w:b/>
          <w:color w:val="1F5584" w:themeColor="accent2"/>
          <w:spacing w:val="-10"/>
        </w:rPr>
        <w:t>62 %</w:t>
      </w:r>
      <w:r>
        <w:rPr>
          <w:b/>
          <w:color w:val="1F5584" w:themeColor="accent2"/>
          <w:spacing w:val="-10"/>
        </w:rPr>
        <w:t xml:space="preserve"> d</w:t>
      </w:r>
      <w:r w:rsidR="00F37BC8" w:rsidRPr="009F3387">
        <w:rPr>
          <w:b/>
          <w:color w:val="1F5584" w:themeColor="accent2"/>
          <w:spacing w:val="-10"/>
        </w:rPr>
        <w:t>es Français veulent que les partenaires sociaux restent aux commandes du système de retraite contre 38 % qui préfèrent que ce soit l’</w:t>
      </w:r>
      <w:r w:rsidR="003D6C27" w:rsidRPr="009F3387">
        <w:rPr>
          <w:b/>
          <w:color w:val="1F5584" w:themeColor="accent2"/>
          <w:spacing w:val="-10"/>
        </w:rPr>
        <w:t>État</w:t>
      </w:r>
      <w:r w:rsidR="005363A4" w:rsidRPr="009F3387">
        <w:rPr>
          <w:b/>
          <w:color w:val="1F5584" w:themeColor="accent2"/>
          <w:spacing w:val="-10"/>
        </w:rPr>
        <w:t>.</w:t>
      </w:r>
      <w:r w:rsidR="00F37BC8" w:rsidRPr="009F3387">
        <w:rPr>
          <w:color w:val="1F5584" w:themeColor="accent2"/>
          <w:spacing w:val="-10"/>
        </w:rPr>
        <w:t xml:space="preserve"> </w:t>
      </w:r>
      <w:r w:rsidR="00F37BC8" w:rsidRPr="009F3387">
        <w:rPr>
          <w:spacing w:val="-10"/>
        </w:rPr>
        <w:t xml:space="preserve">Le modèle paritaire institué après la Libération est donc privilégié à l’étatisation. </w:t>
      </w:r>
      <w:r w:rsidR="00C637AB">
        <w:rPr>
          <w:spacing w:val="-10"/>
        </w:rPr>
        <w:t>Cette appréciation n’est pas sans lien avec le sentiment de défiance qui traverse le pays vis-à-vis des institutions.</w:t>
      </w:r>
    </w:p>
    <w:p w14:paraId="55D1CAF2" w14:textId="5232E91A" w:rsidR="00F37BC8" w:rsidRPr="009F3387" w:rsidRDefault="00F37BC8" w:rsidP="00F37BC8">
      <w:pPr>
        <w:rPr>
          <w:spacing w:val="-10"/>
        </w:rPr>
      </w:pPr>
    </w:p>
    <w:p w14:paraId="15F7A0A0" w14:textId="1CBB1278" w:rsidR="00682A90" w:rsidRPr="009F3387" w:rsidRDefault="00682A90" w:rsidP="005968B5">
      <w:pPr>
        <w:rPr>
          <w:spacing w:val="-10"/>
          <w:sz w:val="15"/>
        </w:rPr>
      </w:pPr>
      <w:r w:rsidRPr="009F3387">
        <w:rPr>
          <w:noProof/>
          <w:spacing w:val="-10"/>
        </w:rPr>
        <w:drawing>
          <wp:inline distT="0" distB="0" distL="0" distR="0" wp14:anchorId="4FC058FD" wp14:editId="774D9DAF">
            <wp:extent cx="5759450" cy="2520000"/>
            <wp:effectExtent l="0" t="0" r="12700" b="13970"/>
            <wp:docPr id="6" name="Graphique 6">
              <a:extLst xmlns:a="http://schemas.openxmlformats.org/drawingml/2006/main">
                <a:ext uri="{FF2B5EF4-FFF2-40B4-BE49-F238E27FC236}">
                  <a16:creationId xmlns:a16="http://schemas.microsoft.com/office/drawing/2014/main" id="{FF112A07-42AE-844F-B091-528F836CA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AA64C8" w14:textId="7FE9097F" w:rsidR="003E48E6" w:rsidRPr="009F3387" w:rsidRDefault="007B628C" w:rsidP="003E48E6">
      <w:pPr>
        <w:rPr>
          <w:spacing w:val="-10"/>
          <w:sz w:val="15"/>
        </w:rPr>
      </w:pPr>
      <w:r w:rsidRPr="009F3387">
        <w:rPr>
          <w:spacing w:val="-10"/>
          <w:sz w:val="15"/>
        </w:rPr>
        <w:t>Source : Cercle de l’Épargne / Amphitéa / CECOP/IFOP</w:t>
      </w:r>
    </w:p>
    <w:p w14:paraId="5CD36897" w14:textId="77777777" w:rsidR="00C14F65" w:rsidRDefault="00C14F65" w:rsidP="00C87082">
      <w:pPr>
        <w:spacing w:after="160" w:line="259" w:lineRule="auto"/>
        <w:jc w:val="left"/>
        <w:rPr>
          <w:b/>
          <w:spacing w:val="-10"/>
        </w:rPr>
      </w:pPr>
    </w:p>
    <w:p w14:paraId="0F1101E5" w14:textId="27B4C417" w:rsidR="00F37BC8" w:rsidRPr="009F3387" w:rsidRDefault="00E24CAC" w:rsidP="00C87082">
      <w:pPr>
        <w:spacing w:after="160" w:line="259" w:lineRule="auto"/>
        <w:jc w:val="left"/>
        <w:rPr>
          <w:b/>
          <w:spacing w:val="-10"/>
        </w:rPr>
      </w:pPr>
      <w:r w:rsidRPr="009F3387">
        <w:rPr>
          <w:b/>
          <w:spacing w:val="-10"/>
        </w:rPr>
        <w:lastRenderedPageBreak/>
        <w:t>Pour une association répartition / capitalisation</w:t>
      </w:r>
    </w:p>
    <w:p w14:paraId="7DDD9E48" w14:textId="6459CA97" w:rsidR="00FA27C4" w:rsidRPr="009F3387" w:rsidRDefault="00F37BC8" w:rsidP="00F37BC8">
      <w:pPr>
        <w:rPr>
          <w:spacing w:val="-10"/>
        </w:rPr>
      </w:pPr>
      <w:r w:rsidRPr="009F3387">
        <w:rPr>
          <w:spacing w:val="-10"/>
        </w:rPr>
        <w:t xml:space="preserve">Si seulement 12 % des Français sont favorables à l’instauration d’un système reposant exclusivement sur la </w:t>
      </w:r>
      <w:r w:rsidRPr="00F10C1B">
        <w:t>capitalisation</w:t>
      </w:r>
      <w:r w:rsidR="00F10C1B" w:rsidRPr="00F10C1B">
        <w:t>,</w:t>
      </w:r>
      <w:r w:rsidRPr="009F3387">
        <w:rPr>
          <w:b/>
          <w:color w:val="1F5584" w:themeColor="accent2"/>
          <w:spacing w:val="-10"/>
        </w:rPr>
        <w:t xml:space="preserve"> 45 % souhaitent la mise en place d’un système mixte combinant répartition et capitalisation.</w:t>
      </w:r>
      <w:r w:rsidRPr="009F3387">
        <w:rPr>
          <w:color w:val="1F5584" w:themeColor="accent2"/>
          <w:spacing w:val="-10"/>
        </w:rPr>
        <w:t xml:space="preserve"> </w:t>
      </w:r>
      <w:r w:rsidRPr="009F3387">
        <w:rPr>
          <w:spacing w:val="-10"/>
        </w:rPr>
        <w:t xml:space="preserve">Cette solution est portée par les jeunes, les indépendants et les cadres. </w:t>
      </w:r>
      <w:r w:rsidR="00F66095">
        <w:rPr>
          <w:spacing w:val="-10"/>
        </w:rPr>
        <w:t>A contrario</w:t>
      </w:r>
      <w:r w:rsidRPr="009F3387">
        <w:rPr>
          <w:spacing w:val="-10"/>
        </w:rPr>
        <w:t xml:space="preserve">, 43 % </w:t>
      </w:r>
      <w:r w:rsidR="00F20F8A">
        <w:rPr>
          <w:spacing w:val="-10"/>
        </w:rPr>
        <w:t xml:space="preserve">des sondés </w:t>
      </w:r>
      <w:r w:rsidRPr="009F3387">
        <w:rPr>
          <w:spacing w:val="-10"/>
        </w:rPr>
        <w:t xml:space="preserve">veulent maintenir un système fonctionnant exclusivement sur la répartition. Les Français aux revenus modestes et les ouvriers soutiennent majoritairement cette option. </w:t>
      </w:r>
    </w:p>
    <w:p w14:paraId="52A08FE4" w14:textId="271C7DD5" w:rsidR="00CF5571" w:rsidRPr="009F3387" w:rsidRDefault="00B2141F" w:rsidP="007B628C">
      <w:pPr>
        <w:rPr>
          <w:spacing w:val="-10"/>
          <w:sz w:val="15"/>
        </w:rPr>
      </w:pPr>
      <w:r w:rsidRPr="009F3387">
        <w:rPr>
          <w:noProof/>
          <w:spacing w:val="-10"/>
          <w:sz w:val="12"/>
        </w:rPr>
        <w:t xml:space="preserve"> </w:t>
      </w:r>
    </w:p>
    <w:p w14:paraId="4602B4BD" w14:textId="08CC893F" w:rsidR="007B628C" w:rsidRPr="009F3387" w:rsidRDefault="00CF5571" w:rsidP="007B628C">
      <w:pPr>
        <w:rPr>
          <w:spacing w:val="-10"/>
          <w:sz w:val="15"/>
        </w:rPr>
      </w:pPr>
      <w:r w:rsidRPr="009F3387">
        <w:rPr>
          <w:noProof/>
          <w:spacing w:val="-10"/>
        </w:rPr>
        <w:drawing>
          <wp:inline distT="0" distB="0" distL="0" distR="0" wp14:anchorId="29B9F44E" wp14:editId="465972E7">
            <wp:extent cx="5759450" cy="3105150"/>
            <wp:effectExtent l="0" t="0" r="12700" b="0"/>
            <wp:docPr id="3" name="Graphique 3">
              <a:extLst xmlns:a="http://schemas.openxmlformats.org/drawingml/2006/main">
                <a:ext uri="{FF2B5EF4-FFF2-40B4-BE49-F238E27FC236}">
                  <a16:creationId xmlns:a16="http://schemas.microsoft.com/office/drawing/2014/main" id="{00BB97D0-3115-C045-9CC4-BC7D5410C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B628C" w:rsidRPr="009F3387">
        <w:rPr>
          <w:spacing w:val="-10"/>
          <w:sz w:val="15"/>
        </w:rPr>
        <w:t>Source : Cercle de l’Épargne / Amphitéa / CECOP/IFOP</w:t>
      </w:r>
    </w:p>
    <w:p w14:paraId="33CB4977" w14:textId="77777777" w:rsidR="00C637AB" w:rsidRDefault="00C637AB" w:rsidP="00F37BC8">
      <w:pPr>
        <w:rPr>
          <w:b/>
          <w:spacing w:val="-10"/>
        </w:rPr>
      </w:pPr>
    </w:p>
    <w:p w14:paraId="007C3E07" w14:textId="10792374" w:rsidR="00F37BC8" w:rsidRPr="009F3387" w:rsidRDefault="00F37BC8" w:rsidP="00F37BC8">
      <w:pPr>
        <w:rPr>
          <w:b/>
          <w:color w:val="FFC000" w:themeColor="accent5"/>
          <w:spacing w:val="-10"/>
        </w:rPr>
      </w:pPr>
      <w:r w:rsidRPr="009F3387">
        <w:rPr>
          <w:b/>
          <w:spacing w:val="-10"/>
        </w:rPr>
        <w:t xml:space="preserve">La nostalgie de la retraite à 60 ans bien </w:t>
      </w:r>
      <w:r w:rsidR="002E3728">
        <w:rPr>
          <w:b/>
          <w:spacing w:val="-10"/>
        </w:rPr>
        <w:t>marquée</w:t>
      </w:r>
    </w:p>
    <w:p w14:paraId="39643922" w14:textId="77777777" w:rsidR="00F37BC8" w:rsidRPr="009F3387" w:rsidRDefault="00F37BC8" w:rsidP="00F37BC8">
      <w:pPr>
        <w:rPr>
          <w:spacing w:val="-10"/>
        </w:rPr>
      </w:pPr>
    </w:p>
    <w:p w14:paraId="54F095BC" w14:textId="12DCA9DE" w:rsidR="00F37BC8" w:rsidRPr="009F3387" w:rsidRDefault="00F37BC8" w:rsidP="00F37BC8">
      <w:pPr>
        <w:rPr>
          <w:spacing w:val="-10"/>
        </w:rPr>
      </w:pPr>
      <w:r w:rsidRPr="009F3387">
        <w:rPr>
          <w:spacing w:val="-10"/>
        </w:rPr>
        <w:t xml:space="preserve">Le Président de la République s’est engagé à maintenir l’âge de départ à la retraite à 62 ans et le </w:t>
      </w:r>
      <w:r w:rsidR="001F7A7B" w:rsidRPr="009F3387">
        <w:rPr>
          <w:spacing w:val="-10"/>
        </w:rPr>
        <w:t>Haut</w:t>
      </w:r>
      <w:r w:rsidRPr="009F3387">
        <w:rPr>
          <w:spacing w:val="-10"/>
        </w:rPr>
        <w:t xml:space="preserve">-commissaire à la </w:t>
      </w:r>
      <w:r w:rsidR="00F82EA3">
        <w:rPr>
          <w:spacing w:val="-10"/>
        </w:rPr>
        <w:t>r</w:t>
      </w:r>
      <w:r w:rsidRPr="009F3387">
        <w:rPr>
          <w:spacing w:val="-10"/>
        </w:rPr>
        <w:t>éforme de</w:t>
      </w:r>
      <w:r w:rsidR="00F10C1B">
        <w:rPr>
          <w:spacing w:val="-10"/>
        </w:rPr>
        <w:t>s retraites</w:t>
      </w:r>
      <w:r w:rsidRPr="009F3387">
        <w:rPr>
          <w:spacing w:val="-10"/>
        </w:rPr>
        <w:t xml:space="preserve"> a indiqué que des dispositifs de départ anticipés pourraient être </w:t>
      </w:r>
      <w:r w:rsidR="002E3728">
        <w:rPr>
          <w:spacing w:val="-10"/>
        </w:rPr>
        <w:t>conservés</w:t>
      </w:r>
      <w:r w:rsidRPr="009F3387">
        <w:rPr>
          <w:spacing w:val="-10"/>
        </w:rPr>
        <w:t xml:space="preserve"> dans le futur régime universel. Ces promesses reçoivent très nettement l’approbation des sondés.</w:t>
      </w:r>
    </w:p>
    <w:p w14:paraId="2CAD1E12" w14:textId="77777777" w:rsidR="00F37BC8" w:rsidRPr="009F3387" w:rsidRDefault="00F37BC8" w:rsidP="00F37BC8">
      <w:pPr>
        <w:rPr>
          <w:spacing w:val="-10"/>
        </w:rPr>
      </w:pPr>
    </w:p>
    <w:p w14:paraId="08676B0A" w14:textId="32193240" w:rsidR="00F37BC8" w:rsidRPr="009F3387" w:rsidRDefault="00F37BC8" w:rsidP="00F37BC8">
      <w:pPr>
        <w:rPr>
          <w:spacing w:val="-10"/>
        </w:rPr>
      </w:pPr>
      <w:r w:rsidRPr="009F3387">
        <w:rPr>
          <w:b/>
          <w:color w:val="1F5584" w:themeColor="accent2"/>
          <w:spacing w:val="-10"/>
        </w:rPr>
        <w:t xml:space="preserve">79 % des Français considèrent qu’il faut </w:t>
      </w:r>
      <w:r w:rsidR="003D6C27" w:rsidRPr="009F3387">
        <w:rPr>
          <w:b/>
          <w:color w:val="1F5584" w:themeColor="accent2"/>
          <w:spacing w:val="-10"/>
        </w:rPr>
        <w:t>maintenir la</w:t>
      </w:r>
      <w:r w:rsidRPr="009F3387">
        <w:rPr>
          <w:b/>
          <w:color w:val="1F5584" w:themeColor="accent2"/>
          <w:spacing w:val="-10"/>
        </w:rPr>
        <w:t xml:space="preserve"> retraite à 62 ans voire revenir à 60 ans.</w:t>
      </w:r>
      <w:r w:rsidRPr="009F3387">
        <w:rPr>
          <w:color w:val="1F5584" w:themeColor="accent2"/>
          <w:spacing w:val="-10"/>
        </w:rPr>
        <w:t xml:space="preserve"> </w:t>
      </w:r>
      <w:r w:rsidRPr="009F3387">
        <w:rPr>
          <w:spacing w:val="-10"/>
        </w:rPr>
        <w:t>41 % des Français pensent qu’il est</w:t>
      </w:r>
      <w:r w:rsidR="005B28CE" w:rsidRPr="009F3387">
        <w:rPr>
          <w:spacing w:val="-10"/>
        </w:rPr>
        <w:t xml:space="preserve"> </w:t>
      </w:r>
      <w:r w:rsidRPr="009F3387">
        <w:rPr>
          <w:spacing w:val="-10"/>
        </w:rPr>
        <w:t xml:space="preserve">possible de revenir à la retraite à 60 ans. Ce sentiment est partagé par 59 % des employés et 57 % des ouvriers. 59 % des actifs âgés de 35 à 49 ans pensent de même. </w:t>
      </w:r>
      <w:r w:rsidRPr="009F3387">
        <w:rPr>
          <w:b/>
          <w:color w:val="1F5584" w:themeColor="accent2"/>
          <w:spacing w:val="-10"/>
        </w:rPr>
        <w:t>Seuls 21 % des sondés estiment qu’il est nécessaire de faire évoluer l’âge légal progressivement vers 65 ans.</w:t>
      </w:r>
      <w:r w:rsidRPr="009F3387">
        <w:rPr>
          <w:color w:val="1F5584" w:themeColor="accent2"/>
          <w:spacing w:val="-10"/>
        </w:rPr>
        <w:t xml:space="preserve"> </w:t>
      </w:r>
      <w:r w:rsidRPr="009F3387">
        <w:rPr>
          <w:spacing w:val="-10"/>
        </w:rPr>
        <w:t xml:space="preserve">Ce report </w:t>
      </w:r>
      <w:r w:rsidR="001F7A7B" w:rsidRPr="009F3387">
        <w:rPr>
          <w:spacing w:val="-10"/>
        </w:rPr>
        <w:t>n’</w:t>
      </w:r>
      <w:r w:rsidRPr="009F3387">
        <w:rPr>
          <w:spacing w:val="-10"/>
        </w:rPr>
        <w:t xml:space="preserve">est accepté que </w:t>
      </w:r>
      <w:r w:rsidR="001F7A7B" w:rsidRPr="009F3387">
        <w:rPr>
          <w:spacing w:val="-10"/>
        </w:rPr>
        <w:t>par</w:t>
      </w:r>
      <w:r w:rsidRPr="009F3387">
        <w:rPr>
          <w:spacing w:val="-10"/>
        </w:rPr>
        <w:t xml:space="preserve"> les actifs qui traditionnellement partent déjà au-delà de 62 ans à la retraite (les cadres, les indépendants, les professions libérales). </w:t>
      </w:r>
    </w:p>
    <w:p w14:paraId="71D04BD1" w14:textId="77777777" w:rsidR="00CB3406" w:rsidRPr="009F3387" w:rsidRDefault="00CB3406" w:rsidP="00F37BC8">
      <w:pPr>
        <w:rPr>
          <w:spacing w:val="-10"/>
        </w:rPr>
      </w:pPr>
    </w:p>
    <w:p w14:paraId="02821197" w14:textId="66EC2252" w:rsidR="00F37BC8" w:rsidRPr="00D057AA" w:rsidRDefault="001F7A7B" w:rsidP="00F37BC8">
      <w:pPr>
        <w:rPr>
          <w:spacing w:val="-8"/>
        </w:rPr>
      </w:pPr>
      <w:r w:rsidRPr="00D057AA">
        <w:rPr>
          <w:noProof/>
          <w:spacing w:val="-8"/>
          <w:lang w:eastAsia="fr-FR"/>
        </w:rPr>
        <w:lastRenderedPageBreak/>
        <w:drawing>
          <wp:inline distT="0" distB="0" distL="0" distR="0" wp14:anchorId="0BED9575" wp14:editId="2994AF90">
            <wp:extent cx="5759450" cy="3104707"/>
            <wp:effectExtent l="0" t="0" r="12700" b="635"/>
            <wp:docPr id="33" name="Graphique 33">
              <a:extLst xmlns:a="http://schemas.openxmlformats.org/drawingml/2006/main">
                <a:ext uri="{FF2B5EF4-FFF2-40B4-BE49-F238E27FC236}">
                  <a16:creationId xmlns:a16="http://schemas.microsoft.com/office/drawing/2014/main" id="{7B2E66BC-5D38-4BF1-BC8D-3BABB9911C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32E993" w14:textId="1D16E850" w:rsidR="007B628C" w:rsidRPr="009F3387" w:rsidRDefault="007B628C" w:rsidP="007B628C">
      <w:pPr>
        <w:rPr>
          <w:spacing w:val="-10"/>
          <w:sz w:val="15"/>
        </w:rPr>
      </w:pPr>
      <w:r w:rsidRPr="009F3387">
        <w:rPr>
          <w:spacing w:val="-10"/>
          <w:sz w:val="15"/>
        </w:rPr>
        <w:t>Source : Cercle de l’Épargne / Amphitéa / CECOP/IFOP</w:t>
      </w:r>
    </w:p>
    <w:p w14:paraId="41FD21CA" w14:textId="7BFFFD46" w:rsidR="00F37BC8" w:rsidRDefault="00F37BC8" w:rsidP="00F37BC8">
      <w:pPr>
        <w:rPr>
          <w:spacing w:val="-10"/>
          <w:sz w:val="20"/>
        </w:rPr>
      </w:pPr>
    </w:p>
    <w:p w14:paraId="26A46E5A" w14:textId="77777777" w:rsidR="00A844CE" w:rsidRPr="00D057AA" w:rsidRDefault="00A844CE" w:rsidP="00F37BC8">
      <w:pPr>
        <w:rPr>
          <w:spacing w:val="-10"/>
          <w:sz w:val="20"/>
        </w:rPr>
      </w:pPr>
    </w:p>
    <w:p w14:paraId="78DDA399" w14:textId="3EB37641" w:rsidR="00773A11" w:rsidRPr="00C14F65" w:rsidRDefault="008D53B0" w:rsidP="00396B0E">
      <w:pPr>
        <w:pStyle w:val="Titre1"/>
        <w:pBdr>
          <w:bottom w:val="single" w:sz="4" w:space="4" w:color="auto"/>
        </w:pBdr>
        <w:rPr>
          <w:spacing w:val="-10"/>
          <w:sz w:val="28"/>
        </w:rPr>
      </w:pPr>
      <w:r w:rsidRPr="00C14F65">
        <w:rPr>
          <w:spacing w:val="-10"/>
          <w:sz w:val="28"/>
        </w:rPr>
        <w:t xml:space="preserve">LES FRANÇAIS ET LA QUESTION DU POUVOIR D’ACHAT </w:t>
      </w:r>
      <w:r w:rsidR="005B28CE" w:rsidRPr="00C14F65">
        <w:rPr>
          <w:spacing w:val="-10"/>
          <w:sz w:val="28"/>
        </w:rPr>
        <w:t>À</w:t>
      </w:r>
      <w:r w:rsidRPr="00C14F65">
        <w:rPr>
          <w:spacing w:val="-10"/>
          <w:sz w:val="28"/>
        </w:rPr>
        <w:t xml:space="preserve"> LA RETRAITE !</w:t>
      </w:r>
    </w:p>
    <w:p w14:paraId="26C383B7" w14:textId="35A0B8D5" w:rsidR="006222F0" w:rsidRPr="009F3387" w:rsidRDefault="006222F0" w:rsidP="0071634D">
      <w:pPr>
        <w:rPr>
          <w:spacing w:val="-10"/>
        </w:rPr>
      </w:pPr>
    </w:p>
    <w:p w14:paraId="71DF8371" w14:textId="64D0955C" w:rsidR="006222F0" w:rsidRPr="009F3387" w:rsidRDefault="00D057AA" w:rsidP="0071634D">
      <w:pPr>
        <w:rPr>
          <w:b/>
          <w:spacing w:val="-10"/>
        </w:rPr>
      </w:pPr>
      <w:r>
        <w:rPr>
          <w:b/>
          <w:spacing w:val="-10"/>
        </w:rPr>
        <w:t>Regain d’optimisme pour le pouvoir d’achat des retraités</w:t>
      </w:r>
    </w:p>
    <w:p w14:paraId="3E4E5DFA" w14:textId="5F78183C" w:rsidR="00974DF5" w:rsidRPr="009F3387" w:rsidRDefault="00974DF5" w:rsidP="0071634D">
      <w:pPr>
        <w:rPr>
          <w:spacing w:val="-10"/>
        </w:rPr>
      </w:pPr>
    </w:p>
    <w:p w14:paraId="3F42AD4A" w14:textId="320D1575" w:rsidR="00773A9F" w:rsidRPr="009F3387" w:rsidRDefault="00974DF5" w:rsidP="0071634D">
      <w:pPr>
        <w:rPr>
          <w:spacing w:val="-10"/>
        </w:rPr>
      </w:pPr>
      <w:r w:rsidRPr="009F3387">
        <w:rPr>
          <w:b/>
          <w:color w:val="1F5584" w:themeColor="accent2"/>
          <w:spacing w:val="-10"/>
        </w:rPr>
        <w:t>En 2019</w:t>
      </w:r>
      <w:r w:rsidR="003306A0" w:rsidRPr="009F3387">
        <w:rPr>
          <w:b/>
          <w:color w:val="1F5584" w:themeColor="accent2"/>
          <w:spacing w:val="-10"/>
        </w:rPr>
        <w:t>,</w:t>
      </w:r>
      <w:r w:rsidRPr="009F3387">
        <w:rPr>
          <w:b/>
          <w:color w:val="1F5584" w:themeColor="accent2"/>
          <w:spacing w:val="-10"/>
        </w:rPr>
        <w:t xml:space="preserve"> 31 % des Français pensent que leurs pensions sont ou seront suffisantes pour vivre correctement</w:t>
      </w:r>
      <w:r w:rsidR="0007743E">
        <w:rPr>
          <w:b/>
          <w:color w:val="1F5584" w:themeColor="accent2"/>
          <w:spacing w:val="-10"/>
        </w:rPr>
        <w:t xml:space="preserve"> contre 26 % en 2018</w:t>
      </w:r>
      <w:r w:rsidRPr="009F3387">
        <w:rPr>
          <w:b/>
          <w:color w:val="1F5584" w:themeColor="accent2"/>
          <w:spacing w:val="-10"/>
        </w:rPr>
        <w:t>.</w:t>
      </w:r>
      <w:r w:rsidRPr="009F3387">
        <w:rPr>
          <w:color w:val="1F5584" w:themeColor="accent2"/>
          <w:spacing w:val="-10"/>
        </w:rPr>
        <w:t xml:space="preserve"> </w:t>
      </w:r>
      <w:r w:rsidRPr="009F3387">
        <w:rPr>
          <w:spacing w:val="-10"/>
        </w:rPr>
        <w:t>50 % des retraités pensent ainsi</w:t>
      </w:r>
      <w:r w:rsidR="00F80F7D">
        <w:rPr>
          <w:spacing w:val="-10"/>
        </w:rPr>
        <w:t xml:space="preserve">, </w:t>
      </w:r>
      <w:r w:rsidRPr="009F3387">
        <w:rPr>
          <w:spacing w:val="-10"/>
        </w:rPr>
        <w:t>cette année</w:t>
      </w:r>
      <w:r w:rsidR="00F80F7D">
        <w:rPr>
          <w:spacing w:val="-10"/>
        </w:rPr>
        <w:t>,</w:t>
      </w:r>
      <w:r w:rsidRPr="009F3387">
        <w:rPr>
          <w:spacing w:val="-10"/>
        </w:rPr>
        <w:t xml:space="preserve"> contre seulement 39 % en 2018. </w:t>
      </w:r>
    </w:p>
    <w:p w14:paraId="64B6177F" w14:textId="10E7E7A0" w:rsidR="00773A9F" w:rsidRPr="009F3387" w:rsidRDefault="00073154" w:rsidP="0071634D">
      <w:pPr>
        <w:rPr>
          <w:spacing w:val="-10"/>
        </w:rPr>
      </w:pPr>
      <w:r w:rsidRPr="00567579">
        <w:rPr>
          <w:noProof/>
          <w:spacing w:val="-10"/>
          <w:sz w:val="18"/>
        </w:rPr>
        <w:t xml:space="preserve"> </w:t>
      </w:r>
      <w:r w:rsidRPr="009F3387">
        <w:rPr>
          <w:noProof/>
          <w:spacing w:val="-10"/>
          <w:lang w:eastAsia="fr-FR"/>
        </w:rPr>
        <w:drawing>
          <wp:inline distT="0" distB="0" distL="0" distR="0" wp14:anchorId="68DD072B" wp14:editId="2550C67C">
            <wp:extent cx="5759450" cy="2600325"/>
            <wp:effectExtent l="0" t="0" r="12700" b="9525"/>
            <wp:docPr id="35" name="Graphique 35">
              <a:extLst xmlns:a="http://schemas.openxmlformats.org/drawingml/2006/main">
                <a:ext uri="{FF2B5EF4-FFF2-40B4-BE49-F238E27FC236}">
                  <a16:creationId xmlns:a16="http://schemas.microsoft.com/office/drawing/2014/main" id="{77CE5EAD-8B31-0341-B480-5244CEAC2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076D97" w14:textId="77777777" w:rsidR="007B628C" w:rsidRPr="009F3387" w:rsidRDefault="007B628C" w:rsidP="007B628C">
      <w:pPr>
        <w:rPr>
          <w:spacing w:val="-10"/>
          <w:sz w:val="15"/>
        </w:rPr>
      </w:pPr>
      <w:r w:rsidRPr="009F3387">
        <w:rPr>
          <w:spacing w:val="-10"/>
          <w:sz w:val="15"/>
        </w:rPr>
        <w:t>Source : Cercle de l’Épargne / Amphitéa / CECOP/IFOP</w:t>
      </w:r>
    </w:p>
    <w:p w14:paraId="331D7708" w14:textId="77777777" w:rsidR="00073154" w:rsidRPr="009F3387" w:rsidRDefault="00073154" w:rsidP="0071634D">
      <w:pPr>
        <w:rPr>
          <w:spacing w:val="-10"/>
        </w:rPr>
      </w:pPr>
    </w:p>
    <w:p w14:paraId="0D85161E" w14:textId="5E00B9CC" w:rsidR="00773A9F" w:rsidRPr="009F3387" w:rsidRDefault="00974DF5" w:rsidP="0071634D">
      <w:pPr>
        <w:rPr>
          <w:spacing w:val="-10"/>
        </w:rPr>
      </w:pPr>
      <w:r w:rsidRPr="009F3387">
        <w:rPr>
          <w:spacing w:val="-10"/>
        </w:rPr>
        <w:t xml:space="preserve">L’année dernière, la hausse de la </w:t>
      </w:r>
      <w:r w:rsidR="00F80F7D">
        <w:rPr>
          <w:spacing w:val="-10"/>
        </w:rPr>
        <w:t>C</w:t>
      </w:r>
      <w:r w:rsidR="0007743E">
        <w:rPr>
          <w:spacing w:val="-10"/>
        </w:rPr>
        <w:t xml:space="preserve">ontribution </w:t>
      </w:r>
      <w:r w:rsidR="00F80F7D">
        <w:rPr>
          <w:spacing w:val="-10"/>
        </w:rPr>
        <w:t>S</w:t>
      </w:r>
      <w:r w:rsidR="0007743E">
        <w:rPr>
          <w:spacing w:val="-10"/>
        </w:rPr>
        <w:t xml:space="preserve">ociale </w:t>
      </w:r>
      <w:r w:rsidR="00F80F7D">
        <w:rPr>
          <w:spacing w:val="-10"/>
        </w:rPr>
        <w:t>G</w:t>
      </w:r>
      <w:r w:rsidR="0007743E">
        <w:rPr>
          <w:spacing w:val="-10"/>
        </w:rPr>
        <w:t>énéralisée (</w:t>
      </w:r>
      <w:r w:rsidRPr="009F3387">
        <w:rPr>
          <w:spacing w:val="-10"/>
        </w:rPr>
        <w:t>CSG</w:t>
      </w:r>
      <w:r w:rsidR="0007743E">
        <w:rPr>
          <w:spacing w:val="-10"/>
        </w:rPr>
        <w:t>)</w:t>
      </w:r>
      <w:r w:rsidRPr="009F3387">
        <w:rPr>
          <w:spacing w:val="-10"/>
        </w:rPr>
        <w:t xml:space="preserve"> avait</w:t>
      </w:r>
      <w:r w:rsidR="00C02D4B" w:rsidRPr="009F3387">
        <w:rPr>
          <w:spacing w:val="-10"/>
        </w:rPr>
        <w:t xml:space="preserve"> </w:t>
      </w:r>
      <w:r w:rsidR="00773A9F" w:rsidRPr="009F3387">
        <w:rPr>
          <w:spacing w:val="-10"/>
        </w:rPr>
        <w:t xml:space="preserve">entraîné une forte dégradation de ce solde. Les mesures annoncées au mois de décembre et la décélération de l’inflation ont sans nul doute contribué au léger regain d’optimisme en ce qui concerne le pouvoir d’achat actuel ou à venir des </w:t>
      </w:r>
      <w:r w:rsidR="00073154" w:rsidRPr="009F3387">
        <w:rPr>
          <w:spacing w:val="-10"/>
        </w:rPr>
        <w:t>retraités.</w:t>
      </w:r>
    </w:p>
    <w:p w14:paraId="2B89B91F" w14:textId="7A3DC0B2" w:rsidR="00E71788" w:rsidRDefault="00E71788" w:rsidP="0071634D">
      <w:pPr>
        <w:rPr>
          <w:b/>
          <w:spacing w:val="-10"/>
        </w:rPr>
      </w:pPr>
    </w:p>
    <w:p w14:paraId="364B043D" w14:textId="3A22A0C2" w:rsidR="003306A0" w:rsidRPr="009F3387" w:rsidRDefault="003306A0" w:rsidP="0071634D">
      <w:pPr>
        <w:rPr>
          <w:b/>
          <w:color w:val="FFC000" w:themeColor="accent5"/>
          <w:spacing w:val="-10"/>
        </w:rPr>
      </w:pPr>
      <w:r w:rsidRPr="009F3387">
        <w:rPr>
          <w:b/>
          <w:spacing w:val="-10"/>
        </w:rPr>
        <w:lastRenderedPageBreak/>
        <w:t xml:space="preserve">Plus de la moitié des Français épargnent </w:t>
      </w:r>
      <w:r w:rsidR="008D53B0" w:rsidRPr="009F3387">
        <w:rPr>
          <w:b/>
          <w:spacing w:val="-10"/>
        </w:rPr>
        <w:t>en vue de</w:t>
      </w:r>
      <w:r w:rsidRPr="009F3387">
        <w:rPr>
          <w:b/>
          <w:spacing w:val="-10"/>
        </w:rPr>
        <w:t xml:space="preserve"> leur retraite </w:t>
      </w:r>
    </w:p>
    <w:p w14:paraId="320BB908" w14:textId="2B302BE8" w:rsidR="003306A0" w:rsidRPr="009F3387" w:rsidRDefault="003306A0" w:rsidP="0071634D">
      <w:pPr>
        <w:rPr>
          <w:spacing w:val="-10"/>
        </w:rPr>
      </w:pPr>
    </w:p>
    <w:p w14:paraId="088D3FE6" w14:textId="012EBB62" w:rsidR="001E500A" w:rsidRPr="009F3387" w:rsidRDefault="00E24CAC" w:rsidP="0071634D">
      <w:pPr>
        <w:rPr>
          <w:spacing w:val="-10"/>
        </w:rPr>
      </w:pPr>
      <w:r w:rsidRPr="00F80F7D">
        <w:rPr>
          <w:b/>
          <w:color w:val="1F5584" w:themeColor="accent2"/>
          <w:spacing w:val="-10"/>
        </w:rPr>
        <w:t xml:space="preserve">En 2019, </w:t>
      </w:r>
      <w:r w:rsidR="00A771E2" w:rsidRPr="00F80F7D">
        <w:rPr>
          <w:b/>
          <w:color w:val="1F5584" w:themeColor="accent2"/>
          <w:spacing w:val="-10"/>
        </w:rPr>
        <w:t xml:space="preserve">les Français </w:t>
      </w:r>
      <w:r w:rsidRPr="00F80F7D">
        <w:rPr>
          <w:b/>
          <w:color w:val="1F5584" w:themeColor="accent2"/>
          <w:spacing w:val="-10"/>
        </w:rPr>
        <w:t>sont plus nombreux qu’en 2018 à déclarer épargner en vue de la retraite, 57</w:t>
      </w:r>
      <w:r w:rsidR="005B28CE" w:rsidRPr="00F80F7D">
        <w:rPr>
          <w:b/>
          <w:color w:val="1F5584" w:themeColor="accent2"/>
          <w:spacing w:val="-10"/>
        </w:rPr>
        <w:t> </w:t>
      </w:r>
      <w:r w:rsidRPr="00F80F7D">
        <w:rPr>
          <w:b/>
          <w:color w:val="1F5584" w:themeColor="accent2"/>
          <w:spacing w:val="-10"/>
        </w:rPr>
        <w:t>% contre 55</w:t>
      </w:r>
      <w:r w:rsidR="005B28CE" w:rsidRPr="00F80F7D">
        <w:rPr>
          <w:b/>
          <w:color w:val="1F5584" w:themeColor="accent2"/>
          <w:spacing w:val="-10"/>
        </w:rPr>
        <w:t> </w:t>
      </w:r>
      <w:r w:rsidRPr="00F80F7D">
        <w:rPr>
          <w:b/>
          <w:color w:val="1F5584" w:themeColor="accent2"/>
          <w:spacing w:val="-10"/>
        </w:rPr>
        <w:t>%.</w:t>
      </w:r>
      <w:r w:rsidRPr="00F80F7D">
        <w:rPr>
          <w:color w:val="1F5584" w:themeColor="accent2"/>
          <w:spacing w:val="-10"/>
        </w:rPr>
        <w:t xml:space="preserve"> </w:t>
      </w:r>
      <w:r w:rsidR="001E500A" w:rsidRPr="009F3387">
        <w:rPr>
          <w:spacing w:val="-10"/>
        </w:rPr>
        <w:t>Il convient de souligner que plus de la moitié des retraités (</w:t>
      </w:r>
      <w:r w:rsidR="005B28CE" w:rsidRPr="009F3387">
        <w:rPr>
          <w:spacing w:val="-10"/>
        </w:rPr>
        <w:t>51 </w:t>
      </w:r>
      <w:r w:rsidR="001E500A" w:rsidRPr="009F3387">
        <w:rPr>
          <w:spacing w:val="-10"/>
        </w:rPr>
        <w:t>%) continue</w:t>
      </w:r>
      <w:r w:rsidR="005B28CE" w:rsidRPr="009F3387">
        <w:rPr>
          <w:spacing w:val="-10"/>
        </w:rPr>
        <w:t>nt</w:t>
      </w:r>
      <w:r w:rsidR="001E500A" w:rsidRPr="009F3387">
        <w:rPr>
          <w:spacing w:val="-10"/>
        </w:rPr>
        <w:t xml:space="preserve"> d’épargner pour améliorer </w:t>
      </w:r>
      <w:r w:rsidR="005B28CE" w:rsidRPr="009F3387">
        <w:rPr>
          <w:spacing w:val="-10"/>
        </w:rPr>
        <w:t>leur</w:t>
      </w:r>
      <w:r w:rsidR="001E500A" w:rsidRPr="009F3387">
        <w:rPr>
          <w:spacing w:val="-10"/>
        </w:rPr>
        <w:t xml:space="preserve"> retraite.</w:t>
      </w:r>
      <w:r w:rsidR="00CD7FF7">
        <w:rPr>
          <w:spacing w:val="-10"/>
        </w:rPr>
        <w:t xml:space="preserve"> Les débats sur le niveau de vie des retraités</w:t>
      </w:r>
      <w:r w:rsidR="00A771E2">
        <w:rPr>
          <w:spacing w:val="-10"/>
        </w:rPr>
        <w:t xml:space="preserve"> et </w:t>
      </w:r>
      <w:r w:rsidR="00CD7FF7">
        <w:rPr>
          <w:spacing w:val="-10"/>
        </w:rPr>
        <w:t>l’élaboration de la future réforme des retraites</w:t>
      </w:r>
      <w:r w:rsidR="00A771E2">
        <w:rPr>
          <w:spacing w:val="-10"/>
        </w:rPr>
        <w:t>,</w:t>
      </w:r>
      <w:r w:rsidR="00CD7FF7">
        <w:rPr>
          <w:spacing w:val="-10"/>
        </w:rPr>
        <w:t xml:space="preserve"> avec son caractère anxiogène</w:t>
      </w:r>
      <w:r w:rsidR="00A771E2">
        <w:rPr>
          <w:spacing w:val="-10"/>
        </w:rPr>
        <w:t>,</w:t>
      </w:r>
      <w:r w:rsidR="00CD7FF7">
        <w:rPr>
          <w:spacing w:val="-10"/>
        </w:rPr>
        <w:t xml:space="preserve"> incitent à l’augmentation de l’effort d’épargne.</w:t>
      </w:r>
    </w:p>
    <w:p w14:paraId="72FF236C" w14:textId="6D6A2092" w:rsidR="00E24CAC" w:rsidRPr="009F3387" w:rsidRDefault="00454619" w:rsidP="0071634D">
      <w:pPr>
        <w:rPr>
          <w:spacing w:val="-10"/>
        </w:rPr>
      </w:pPr>
      <w:r w:rsidRPr="00567579">
        <w:rPr>
          <w:noProof/>
          <w:spacing w:val="-10"/>
          <w:sz w:val="18"/>
        </w:rPr>
        <w:t xml:space="preserve"> </w:t>
      </w:r>
      <w:r w:rsidR="00DE54EC" w:rsidRPr="009F3387">
        <w:rPr>
          <w:noProof/>
          <w:spacing w:val="-10"/>
          <w:lang w:eastAsia="fr-FR"/>
        </w:rPr>
        <w:drawing>
          <wp:inline distT="0" distB="0" distL="0" distR="0" wp14:anchorId="72CECB90" wp14:editId="7945284C">
            <wp:extent cx="5759450" cy="2775098"/>
            <wp:effectExtent l="0" t="0" r="12700" b="6350"/>
            <wp:docPr id="5" name="Graphique 5">
              <a:extLst xmlns:a="http://schemas.openxmlformats.org/drawingml/2006/main">
                <a:ext uri="{FF2B5EF4-FFF2-40B4-BE49-F238E27FC236}">
                  <a16:creationId xmlns:a16="http://schemas.microsoft.com/office/drawing/2014/main" id="{3868C330-1EC9-9F4E-8B0A-3E9296CD5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407C27" w14:textId="77777777" w:rsidR="007B628C" w:rsidRPr="009F3387" w:rsidRDefault="007B628C" w:rsidP="007B628C">
      <w:pPr>
        <w:rPr>
          <w:spacing w:val="-10"/>
          <w:sz w:val="15"/>
        </w:rPr>
      </w:pPr>
      <w:r w:rsidRPr="009F3387">
        <w:rPr>
          <w:spacing w:val="-10"/>
          <w:sz w:val="15"/>
        </w:rPr>
        <w:t>Source : Cercle de l’Épargne / Amphitéa / CECOP/IFOP</w:t>
      </w:r>
    </w:p>
    <w:p w14:paraId="66B35EED" w14:textId="77777777" w:rsidR="00CD7FF7" w:rsidRDefault="00CD7FF7" w:rsidP="0071634D">
      <w:pPr>
        <w:rPr>
          <w:b/>
          <w:spacing w:val="-10"/>
        </w:rPr>
      </w:pPr>
    </w:p>
    <w:p w14:paraId="42562EA8" w14:textId="1CB4FF50" w:rsidR="001E500A" w:rsidRPr="009F3387" w:rsidRDefault="001E500A" w:rsidP="0071634D">
      <w:pPr>
        <w:rPr>
          <w:b/>
          <w:color w:val="FFC000" w:themeColor="accent5"/>
          <w:spacing w:val="-10"/>
        </w:rPr>
      </w:pPr>
      <w:r w:rsidRPr="009F3387">
        <w:rPr>
          <w:b/>
          <w:spacing w:val="-10"/>
        </w:rPr>
        <w:t xml:space="preserve">L’épargne pour la retraite ne sert pas qu’à la retraite </w:t>
      </w:r>
    </w:p>
    <w:p w14:paraId="2285BF94" w14:textId="77777777" w:rsidR="001E500A" w:rsidRPr="009F3387" w:rsidRDefault="001E500A" w:rsidP="0071634D">
      <w:pPr>
        <w:rPr>
          <w:spacing w:val="-10"/>
        </w:rPr>
      </w:pPr>
    </w:p>
    <w:p w14:paraId="7501BE6F" w14:textId="61DCC5D1" w:rsidR="001E500A" w:rsidRPr="009F3387" w:rsidRDefault="001E500A" w:rsidP="001E500A">
      <w:pPr>
        <w:rPr>
          <w:spacing w:val="-10"/>
        </w:rPr>
      </w:pPr>
      <w:r w:rsidRPr="00F80F7D">
        <w:rPr>
          <w:b/>
          <w:color w:val="1F5584" w:themeColor="accent2"/>
          <w:spacing w:val="-10"/>
        </w:rPr>
        <w:t>41 % des retraités indiquent financer leurs dépenses en recourant tout à la fois à leurs pensions et à l’épargne constituée.</w:t>
      </w:r>
      <w:r w:rsidRPr="00F80F7D">
        <w:rPr>
          <w:color w:val="1F5584" w:themeColor="accent2"/>
          <w:spacing w:val="-10"/>
        </w:rPr>
        <w:t xml:space="preserve"> </w:t>
      </w:r>
      <w:r w:rsidRPr="009F3387">
        <w:rPr>
          <w:spacing w:val="-10"/>
        </w:rPr>
        <w:t>29 % déclarent ne pas toucher à leur patrimoine et 30</w:t>
      </w:r>
      <w:r w:rsidR="008F408A" w:rsidRPr="009F3387">
        <w:rPr>
          <w:spacing w:val="-10"/>
        </w:rPr>
        <w:t> </w:t>
      </w:r>
      <w:r w:rsidRPr="009F3387">
        <w:rPr>
          <w:spacing w:val="-10"/>
        </w:rPr>
        <w:t>%</w:t>
      </w:r>
      <w:r w:rsidR="008F408A" w:rsidRPr="009F3387">
        <w:rPr>
          <w:spacing w:val="-10"/>
        </w:rPr>
        <w:t xml:space="preserve"> indiquent</w:t>
      </w:r>
      <w:r w:rsidRPr="009F3387">
        <w:rPr>
          <w:spacing w:val="-10"/>
        </w:rPr>
        <w:t xml:space="preserve"> </w:t>
      </w:r>
      <w:r w:rsidR="00746948" w:rsidRPr="009F3387">
        <w:rPr>
          <w:spacing w:val="-10"/>
        </w:rPr>
        <w:t>vivre sur leurs seules pensions faute d’épargne accumulée</w:t>
      </w:r>
      <w:r w:rsidRPr="009F3387">
        <w:rPr>
          <w:spacing w:val="-10"/>
        </w:rPr>
        <w:t>. Le refus de toucher à son épargne est assez indépendant du niveau de revenu : 45 % parmi les bas revenus ayant accumulé de l’épargne et 42 % parmi les hauts revenus</w:t>
      </w:r>
      <w:r w:rsidR="00746948" w:rsidRPr="009F3387">
        <w:rPr>
          <w:spacing w:val="-10"/>
        </w:rPr>
        <w:t xml:space="preserve"> sont</w:t>
      </w:r>
      <w:r w:rsidRPr="009F3387">
        <w:rPr>
          <w:spacing w:val="-10"/>
        </w:rPr>
        <w:t xml:space="preserve"> dans ce cas. Parmi les patrimoines élevés, le pourcentage atteint même 51 %. </w:t>
      </w:r>
    </w:p>
    <w:p w14:paraId="2EE0CB83" w14:textId="6BA17D14" w:rsidR="0041294E" w:rsidRPr="00567579" w:rsidRDefault="0041294E" w:rsidP="0071634D">
      <w:pPr>
        <w:rPr>
          <w:spacing w:val="-10"/>
          <w:sz w:val="20"/>
        </w:rPr>
      </w:pPr>
    </w:p>
    <w:p w14:paraId="359C3827" w14:textId="7FC59D3D" w:rsidR="00B01126" w:rsidRDefault="00B01126" w:rsidP="007B628C">
      <w:pPr>
        <w:rPr>
          <w:spacing w:val="-10"/>
          <w:sz w:val="15"/>
        </w:rPr>
      </w:pPr>
    </w:p>
    <w:p w14:paraId="347FFB44" w14:textId="2CD72EAE" w:rsidR="00EC6B0D" w:rsidRPr="009F3387" w:rsidRDefault="00EC6B0D" w:rsidP="007B628C">
      <w:pPr>
        <w:rPr>
          <w:spacing w:val="-10"/>
          <w:sz w:val="15"/>
        </w:rPr>
      </w:pPr>
      <w:r>
        <w:rPr>
          <w:noProof/>
          <w:lang w:eastAsia="fr-FR"/>
        </w:rPr>
        <w:drawing>
          <wp:inline distT="0" distB="0" distL="0" distR="0" wp14:anchorId="56268DEB" wp14:editId="3FF00154">
            <wp:extent cx="5759450" cy="2488019"/>
            <wp:effectExtent l="0" t="0" r="12700" b="7620"/>
            <wp:docPr id="21" name="Graphique 21">
              <a:extLst xmlns:a="http://schemas.openxmlformats.org/drawingml/2006/main">
                <a:ext uri="{FF2B5EF4-FFF2-40B4-BE49-F238E27FC236}">
                  <a16:creationId xmlns:a16="http://schemas.microsoft.com/office/drawing/2014/main" id="{8B50413F-B373-A84D-A406-C3CA157FF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E7CBDF" w14:textId="247A371D" w:rsidR="00B91E8B" w:rsidRDefault="007B628C" w:rsidP="007B628C">
      <w:pPr>
        <w:rPr>
          <w:spacing w:val="-10"/>
          <w:sz w:val="15"/>
        </w:rPr>
      </w:pPr>
      <w:r w:rsidRPr="009F3387">
        <w:rPr>
          <w:spacing w:val="-10"/>
          <w:sz w:val="15"/>
        </w:rPr>
        <w:t>Source : Cercle de l’Épargne / Amphitéa / CECOP/IFOP</w:t>
      </w:r>
    </w:p>
    <w:p w14:paraId="7FA11DB6" w14:textId="77777777" w:rsidR="00B91E8B" w:rsidRDefault="00B91E8B">
      <w:pPr>
        <w:spacing w:after="160" w:line="259" w:lineRule="auto"/>
        <w:jc w:val="left"/>
        <w:rPr>
          <w:spacing w:val="-10"/>
          <w:sz w:val="15"/>
        </w:rPr>
      </w:pPr>
      <w:r>
        <w:rPr>
          <w:spacing w:val="-10"/>
          <w:sz w:val="15"/>
        </w:rPr>
        <w:br w:type="page"/>
      </w:r>
    </w:p>
    <w:p w14:paraId="3F90C977" w14:textId="6CA91A14" w:rsidR="006222F0" w:rsidRPr="00C14F65" w:rsidRDefault="008D53B0" w:rsidP="00396B0E">
      <w:pPr>
        <w:pStyle w:val="Titre1"/>
        <w:pBdr>
          <w:bottom w:val="single" w:sz="4" w:space="4" w:color="auto"/>
        </w:pBdr>
        <w:rPr>
          <w:b w:val="0"/>
          <w:spacing w:val="-10"/>
          <w:sz w:val="28"/>
        </w:rPr>
      </w:pPr>
      <w:r w:rsidRPr="00C14F65">
        <w:rPr>
          <w:spacing w:val="-10"/>
          <w:sz w:val="28"/>
        </w:rPr>
        <w:lastRenderedPageBreak/>
        <w:t>LES FRANÇAIS ET L’</w:t>
      </w:r>
      <w:r w:rsidR="00EC541A" w:rsidRPr="00C14F65">
        <w:rPr>
          <w:spacing w:val="-10"/>
          <w:sz w:val="28"/>
        </w:rPr>
        <w:t>É</w:t>
      </w:r>
      <w:r w:rsidRPr="00C14F65">
        <w:rPr>
          <w:spacing w:val="-10"/>
          <w:sz w:val="28"/>
        </w:rPr>
        <w:t>PARGNE, UN COUPLE QUI DURE MALGR</w:t>
      </w:r>
      <w:r w:rsidR="00EC541A" w:rsidRPr="00C14F65">
        <w:rPr>
          <w:spacing w:val="-10"/>
          <w:sz w:val="28"/>
        </w:rPr>
        <w:t>É</w:t>
      </w:r>
      <w:r w:rsidRPr="00C14F65">
        <w:rPr>
          <w:spacing w:val="-10"/>
          <w:sz w:val="28"/>
        </w:rPr>
        <w:t xml:space="preserve"> UN CONTEXTE DIFFICILE </w:t>
      </w:r>
    </w:p>
    <w:p w14:paraId="7EDD9482" w14:textId="2783CF09" w:rsidR="00F4146D" w:rsidRPr="009F3387" w:rsidRDefault="00F4146D" w:rsidP="0071634D">
      <w:pPr>
        <w:rPr>
          <w:spacing w:val="-10"/>
        </w:rPr>
      </w:pPr>
    </w:p>
    <w:p w14:paraId="06AA4239" w14:textId="4579BCE6" w:rsidR="008D53B0" w:rsidRPr="009F3387" w:rsidRDefault="008D53B0" w:rsidP="0071634D">
      <w:pPr>
        <w:rPr>
          <w:b/>
          <w:spacing w:val="-10"/>
        </w:rPr>
      </w:pPr>
      <w:r w:rsidRPr="009F3387">
        <w:rPr>
          <w:b/>
          <w:spacing w:val="-10"/>
        </w:rPr>
        <w:t xml:space="preserve">Les Français épargnent avant tout par précaution </w:t>
      </w:r>
    </w:p>
    <w:p w14:paraId="6A50AD20" w14:textId="6D5B6F14" w:rsidR="008D53B0" w:rsidRPr="009F3387" w:rsidRDefault="008D53B0" w:rsidP="0071634D">
      <w:pPr>
        <w:rPr>
          <w:spacing w:val="-10"/>
        </w:rPr>
      </w:pPr>
    </w:p>
    <w:p w14:paraId="2A7D68E4" w14:textId="31D387EF" w:rsidR="002624BA" w:rsidRPr="009F3387" w:rsidRDefault="002624BA" w:rsidP="0071634D">
      <w:pPr>
        <w:rPr>
          <w:spacing w:val="-10"/>
        </w:rPr>
      </w:pPr>
      <w:r w:rsidRPr="009F3387">
        <w:rPr>
          <w:spacing w:val="-10"/>
        </w:rPr>
        <w:t xml:space="preserve">Quelles sont les principales motivations des épargnants ? </w:t>
      </w:r>
      <w:r w:rsidR="00EC541A" w:rsidRPr="00F80F7D">
        <w:rPr>
          <w:b/>
          <w:color w:val="1F5584" w:themeColor="accent2"/>
          <w:spacing w:val="-10"/>
        </w:rPr>
        <w:t>Les Français</w:t>
      </w:r>
      <w:r w:rsidRPr="00F80F7D">
        <w:rPr>
          <w:b/>
          <w:color w:val="1F5584" w:themeColor="accent2"/>
          <w:spacing w:val="-10"/>
        </w:rPr>
        <w:t xml:space="preserve"> mettent de l’argent de côté avant tout par précaution (40 % des sondés) </w:t>
      </w:r>
      <w:r w:rsidRPr="009F3387">
        <w:rPr>
          <w:spacing w:val="-10"/>
        </w:rPr>
        <w:t>et pour la préparation de la retraite (31</w:t>
      </w:r>
      <w:r w:rsidR="00EC541A" w:rsidRPr="009F3387">
        <w:rPr>
          <w:spacing w:val="-10"/>
        </w:rPr>
        <w:t> </w:t>
      </w:r>
      <w:r w:rsidRPr="009F3387">
        <w:rPr>
          <w:spacing w:val="-10"/>
        </w:rPr>
        <w:t xml:space="preserve">%). </w:t>
      </w:r>
    </w:p>
    <w:p w14:paraId="30718F37" w14:textId="1B12AC60" w:rsidR="008D53B0" w:rsidRPr="009F3387" w:rsidRDefault="008D53B0" w:rsidP="0071634D">
      <w:pPr>
        <w:rPr>
          <w:spacing w:val="-10"/>
        </w:rPr>
      </w:pPr>
    </w:p>
    <w:p w14:paraId="633FF452" w14:textId="57A2631A" w:rsidR="008C1A50" w:rsidRPr="009F3387" w:rsidRDefault="008C1A50" w:rsidP="0071634D">
      <w:pPr>
        <w:rPr>
          <w:spacing w:val="-10"/>
        </w:rPr>
      </w:pPr>
      <w:r w:rsidRPr="009F3387">
        <w:rPr>
          <w:noProof/>
          <w:spacing w:val="-10"/>
          <w:lang w:eastAsia="fr-FR"/>
        </w:rPr>
        <w:drawing>
          <wp:inline distT="0" distB="0" distL="0" distR="0" wp14:anchorId="0BC0D096" wp14:editId="1C682009">
            <wp:extent cx="5759450" cy="3200400"/>
            <wp:effectExtent l="0" t="0" r="12700" b="0"/>
            <wp:docPr id="15" name="Graphique 15">
              <a:extLst xmlns:a="http://schemas.openxmlformats.org/drawingml/2006/main">
                <a:ext uri="{FF2B5EF4-FFF2-40B4-BE49-F238E27FC236}">
                  <a16:creationId xmlns:a16="http://schemas.microsoft.com/office/drawing/2014/main" id="{73DE40FE-B221-6D49-A450-286210A59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70BC37" w14:textId="77777777" w:rsidR="007B628C" w:rsidRPr="009F3387" w:rsidRDefault="007B628C" w:rsidP="007B628C">
      <w:pPr>
        <w:rPr>
          <w:spacing w:val="-10"/>
          <w:sz w:val="15"/>
        </w:rPr>
      </w:pPr>
      <w:r w:rsidRPr="009F3387">
        <w:rPr>
          <w:spacing w:val="-10"/>
          <w:sz w:val="15"/>
        </w:rPr>
        <w:t>Source : Cercle de l’Épargne / Amphitéa / CECOP/IFOP</w:t>
      </w:r>
    </w:p>
    <w:p w14:paraId="22891CA5" w14:textId="0A4D9327" w:rsidR="008D53B0" w:rsidRDefault="008D53B0" w:rsidP="0071634D">
      <w:pPr>
        <w:rPr>
          <w:spacing w:val="-10"/>
        </w:rPr>
      </w:pPr>
    </w:p>
    <w:p w14:paraId="5D12E59B" w14:textId="3E80EED3" w:rsidR="00CD7FF7" w:rsidRDefault="00CD7FF7" w:rsidP="0071634D">
      <w:pPr>
        <w:rPr>
          <w:spacing w:val="-10"/>
        </w:rPr>
      </w:pPr>
      <w:r>
        <w:rPr>
          <w:spacing w:val="-10"/>
        </w:rPr>
        <w:t xml:space="preserve">Pour les 18-24 ans, </w:t>
      </w:r>
      <w:r w:rsidR="00927FD0">
        <w:rPr>
          <w:spacing w:val="-10"/>
        </w:rPr>
        <w:t xml:space="preserve">l’achat d’un logement constitue le deuxième objectif </w:t>
      </w:r>
      <w:r w:rsidR="00F80F7D">
        <w:rPr>
          <w:spacing w:val="-10"/>
        </w:rPr>
        <w:t xml:space="preserve">d’épargne </w:t>
      </w:r>
      <w:r w:rsidR="00927FD0">
        <w:rPr>
          <w:spacing w:val="-10"/>
        </w:rPr>
        <w:t xml:space="preserve">(31 %) derrière la poche de précaution (45 %). 24 % des retraités </w:t>
      </w:r>
      <w:r w:rsidR="00F80F7D">
        <w:rPr>
          <w:spacing w:val="-10"/>
        </w:rPr>
        <w:t xml:space="preserve">déclarent </w:t>
      </w:r>
      <w:r w:rsidR="00927FD0">
        <w:rPr>
          <w:spacing w:val="-10"/>
        </w:rPr>
        <w:t>épargner pour leur retraite. Il est à souligner que seulement 14 % des sondés déclarent n’avoir pas les moyens d’épargner.</w:t>
      </w:r>
    </w:p>
    <w:p w14:paraId="0B740F5C" w14:textId="77777777" w:rsidR="00CD7FF7" w:rsidRPr="009F3387" w:rsidRDefault="00CD7FF7" w:rsidP="0071634D">
      <w:pPr>
        <w:rPr>
          <w:spacing w:val="-10"/>
        </w:rPr>
      </w:pPr>
    </w:p>
    <w:p w14:paraId="6AFBAAC2" w14:textId="77777777" w:rsidR="008D53B0" w:rsidRPr="009F3387" w:rsidRDefault="008D53B0" w:rsidP="0071634D">
      <w:pPr>
        <w:rPr>
          <w:b/>
          <w:spacing w:val="-10"/>
        </w:rPr>
      </w:pPr>
      <w:r w:rsidRPr="009F3387">
        <w:rPr>
          <w:b/>
          <w:spacing w:val="-10"/>
        </w:rPr>
        <w:t xml:space="preserve">La baisse des rendements de l’épargne n’a pas de prise réelle sur les épargnants </w:t>
      </w:r>
    </w:p>
    <w:p w14:paraId="562636FE" w14:textId="77777777" w:rsidR="008D53B0" w:rsidRPr="009F3387" w:rsidRDefault="008D53B0" w:rsidP="0071634D">
      <w:pPr>
        <w:rPr>
          <w:spacing w:val="-10"/>
        </w:rPr>
      </w:pPr>
    </w:p>
    <w:p w14:paraId="7F1B67CA" w14:textId="0D8215B0" w:rsidR="00A757C7" w:rsidRDefault="008D53B0" w:rsidP="0071634D">
      <w:pPr>
        <w:rPr>
          <w:spacing w:val="-10"/>
        </w:rPr>
      </w:pPr>
      <w:r w:rsidRPr="009F3387">
        <w:rPr>
          <w:spacing w:val="-10"/>
        </w:rPr>
        <w:t>La baisse des taux de rendement et le petit regain d’inflation auraient pu conduire les Français à bouder les placements financiers. Or, tel n’est pas le cas</w:t>
      </w:r>
      <w:r w:rsidR="00F80F7D">
        <w:rPr>
          <w:spacing w:val="-10"/>
        </w:rPr>
        <w:t>, b</w:t>
      </w:r>
      <w:r w:rsidRPr="009F3387">
        <w:rPr>
          <w:spacing w:val="-10"/>
        </w:rPr>
        <w:t>ien au contraire, leur intérêt pour l’épargne est en hausse tout comme</w:t>
      </w:r>
      <w:r w:rsidR="008C1A50" w:rsidRPr="009F3387">
        <w:rPr>
          <w:spacing w:val="-10"/>
        </w:rPr>
        <w:t xml:space="preserve"> </w:t>
      </w:r>
      <w:r w:rsidRPr="009F3387">
        <w:rPr>
          <w:spacing w:val="-10"/>
        </w:rPr>
        <w:t xml:space="preserve">la collecte. </w:t>
      </w:r>
    </w:p>
    <w:p w14:paraId="5AAE6F16" w14:textId="77777777" w:rsidR="00C30A48" w:rsidRPr="009F3387" w:rsidRDefault="00C30A48" w:rsidP="0071634D">
      <w:pPr>
        <w:rPr>
          <w:spacing w:val="-10"/>
        </w:rPr>
      </w:pPr>
    </w:p>
    <w:p w14:paraId="06A0D2E8" w14:textId="3D008EA6" w:rsidR="00A771E2" w:rsidRDefault="00A757C7" w:rsidP="0071634D">
      <w:pPr>
        <w:rPr>
          <w:spacing w:val="-10"/>
        </w:rPr>
      </w:pPr>
      <w:r w:rsidRPr="009F3387">
        <w:rPr>
          <w:b/>
          <w:color w:val="1F5584" w:themeColor="accent2"/>
          <w:spacing w:val="-10"/>
        </w:rPr>
        <w:t>La remontée la plus spectaculaire concerne l’assurance</w:t>
      </w:r>
      <w:r w:rsidR="009F15D4" w:rsidRPr="009F3387">
        <w:rPr>
          <w:b/>
          <w:color w:val="1F5584" w:themeColor="accent2"/>
          <w:spacing w:val="-10"/>
        </w:rPr>
        <w:t xml:space="preserve"> </w:t>
      </w:r>
      <w:r w:rsidRPr="009F3387">
        <w:rPr>
          <w:b/>
          <w:color w:val="1F5584" w:themeColor="accent2"/>
          <w:spacing w:val="-10"/>
        </w:rPr>
        <w:t>vie, produit jugé intéressant par 58</w:t>
      </w:r>
      <w:r w:rsidR="008C1A50" w:rsidRPr="009F3387">
        <w:rPr>
          <w:b/>
          <w:color w:val="1F5584" w:themeColor="accent2"/>
          <w:spacing w:val="-10"/>
        </w:rPr>
        <w:t> </w:t>
      </w:r>
      <w:r w:rsidRPr="009F3387">
        <w:rPr>
          <w:b/>
          <w:color w:val="1F5584" w:themeColor="accent2"/>
          <w:spacing w:val="-10"/>
        </w:rPr>
        <w:t>% des interviewés</w:t>
      </w:r>
      <w:r w:rsidRPr="009F3387">
        <w:rPr>
          <w:color w:val="1F5584" w:themeColor="accent2"/>
          <w:spacing w:val="-10"/>
        </w:rPr>
        <w:t xml:space="preserve"> </w:t>
      </w:r>
      <w:r w:rsidRPr="009F3387">
        <w:rPr>
          <w:spacing w:val="-10"/>
        </w:rPr>
        <w:t>(+7 points en un an)</w:t>
      </w:r>
      <w:r w:rsidR="008C1A50" w:rsidRPr="009F3387">
        <w:rPr>
          <w:spacing w:val="-10"/>
        </w:rPr>
        <w:t>. Cette</w:t>
      </w:r>
      <w:r w:rsidRPr="009F3387">
        <w:rPr>
          <w:spacing w:val="-10"/>
        </w:rPr>
        <w:t xml:space="preserve"> progression</w:t>
      </w:r>
      <w:r w:rsidR="008C1A50" w:rsidRPr="009F3387">
        <w:rPr>
          <w:spacing w:val="-10"/>
        </w:rPr>
        <w:t xml:space="preserve"> est </w:t>
      </w:r>
      <w:r w:rsidRPr="009F3387">
        <w:rPr>
          <w:spacing w:val="-10"/>
        </w:rPr>
        <w:t xml:space="preserve">accentuée chez les épargnants (+9 points, à 71 %). </w:t>
      </w:r>
    </w:p>
    <w:p w14:paraId="24B17D87" w14:textId="77777777" w:rsidR="00A771E2" w:rsidRDefault="00A771E2" w:rsidP="0071634D">
      <w:pPr>
        <w:rPr>
          <w:b/>
          <w:color w:val="1F5584" w:themeColor="accent2"/>
          <w:spacing w:val="-10"/>
        </w:rPr>
      </w:pPr>
    </w:p>
    <w:p w14:paraId="31BBDE24" w14:textId="5286B2FD" w:rsidR="00B91E8B" w:rsidRDefault="000225F1" w:rsidP="0071634D">
      <w:pPr>
        <w:rPr>
          <w:spacing w:val="-10"/>
        </w:rPr>
      </w:pPr>
      <w:r w:rsidRPr="009F3387">
        <w:rPr>
          <w:b/>
          <w:color w:val="1F5584" w:themeColor="accent2"/>
          <w:spacing w:val="-10"/>
        </w:rPr>
        <w:t>Malgré la baisse du CAC 40, en 2018, les actions sont jugées intéressantes par 40</w:t>
      </w:r>
      <w:r w:rsidR="00A771E2">
        <w:rPr>
          <w:b/>
          <w:color w:val="1F5584" w:themeColor="accent2"/>
          <w:spacing w:val="-10"/>
        </w:rPr>
        <w:t> </w:t>
      </w:r>
      <w:r w:rsidRPr="009F3387">
        <w:rPr>
          <w:b/>
          <w:color w:val="1F5584" w:themeColor="accent2"/>
          <w:spacing w:val="-10"/>
        </w:rPr>
        <w:t>% des Français</w:t>
      </w:r>
      <w:r w:rsidR="008D53B0" w:rsidRPr="009F3387">
        <w:rPr>
          <w:b/>
          <w:color w:val="1F5584" w:themeColor="accent2"/>
          <w:spacing w:val="-10"/>
        </w:rPr>
        <w:t xml:space="preserve">, </w:t>
      </w:r>
      <w:r w:rsidR="008D53B0" w:rsidRPr="009F3387">
        <w:rPr>
          <w:spacing w:val="-10"/>
        </w:rPr>
        <w:t>soit 11 points de mieux qu’en 2016</w:t>
      </w:r>
      <w:r w:rsidRPr="009F3387">
        <w:rPr>
          <w:spacing w:val="-10"/>
        </w:rPr>
        <w:t>.</w:t>
      </w:r>
      <w:r w:rsidR="00B24328" w:rsidRPr="009F3387">
        <w:rPr>
          <w:spacing w:val="-10"/>
        </w:rPr>
        <w:t xml:space="preserve"> </w:t>
      </w:r>
      <w:r w:rsidR="008C1A50" w:rsidRPr="009F3387">
        <w:rPr>
          <w:spacing w:val="-10"/>
        </w:rPr>
        <w:t>Le L</w:t>
      </w:r>
      <w:r w:rsidR="00A757C7" w:rsidRPr="009F3387">
        <w:rPr>
          <w:spacing w:val="-10"/>
        </w:rPr>
        <w:t xml:space="preserve">ivret </w:t>
      </w:r>
      <w:r w:rsidR="008C1A50" w:rsidRPr="009F3387">
        <w:rPr>
          <w:spacing w:val="-10"/>
        </w:rPr>
        <w:t>A</w:t>
      </w:r>
      <w:r w:rsidR="00A771E2">
        <w:rPr>
          <w:spacing w:val="-10"/>
        </w:rPr>
        <w:t>,</w:t>
      </w:r>
      <w:r w:rsidR="008C1A50" w:rsidRPr="009F3387">
        <w:rPr>
          <w:spacing w:val="-10"/>
        </w:rPr>
        <w:t xml:space="preserve"> bien que </w:t>
      </w:r>
      <w:r w:rsidR="00A757C7" w:rsidRPr="009F3387">
        <w:rPr>
          <w:spacing w:val="-10"/>
        </w:rPr>
        <w:t>mal classé</w:t>
      </w:r>
      <w:r w:rsidR="00A771E2">
        <w:rPr>
          <w:spacing w:val="-10"/>
        </w:rPr>
        <w:t>,</w:t>
      </w:r>
      <w:r w:rsidR="00A757C7" w:rsidRPr="009F3387">
        <w:rPr>
          <w:spacing w:val="-10"/>
        </w:rPr>
        <w:t xml:space="preserve"> gagne deux points</w:t>
      </w:r>
      <w:r w:rsidRPr="009F3387">
        <w:rPr>
          <w:spacing w:val="-10"/>
        </w:rPr>
        <w:t xml:space="preserve">. </w:t>
      </w:r>
    </w:p>
    <w:p w14:paraId="0D228FD9" w14:textId="77777777" w:rsidR="00B91E8B" w:rsidRDefault="00B91E8B">
      <w:pPr>
        <w:spacing w:after="160" w:line="259" w:lineRule="auto"/>
        <w:jc w:val="left"/>
        <w:rPr>
          <w:spacing w:val="-10"/>
        </w:rPr>
      </w:pPr>
      <w:r>
        <w:rPr>
          <w:spacing w:val="-10"/>
        </w:rPr>
        <w:br w:type="page"/>
      </w:r>
    </w:p>
    <w:p w14:paraId="411BB75F" w14:textId="40C1B96B" w:rsidR="003E48E6" w:rsidRPr="00C14F65" w:rsidRDefault="00443E19" w:rsidP="00443E19">
      <w:pPr>
        <w:pStyle w:val="Titre1"/>
        <w:pBdr>
          <w:bottom w:val="single" w:sz="4" w:space="1" w:color="auto"/>
        </w:pBdr>
        <w:rPr>
          <w:spacing w:val="-10"/>
          <w:sz w:val="28"/>
        </w:rPr>
      </w:pPr>
      <w:r w:rsidRPr="00C14F65">
        <w:rPr>
          <w:spacing w:val="-10"/>
          <w:sz w:val="28"/>
        </w:rPr>
        <w:lastRenderedPageBreak/>
        <w:t xml:space="preserve">DÉPENDANCE, LA SOLIDARITÉ MAIS POURQUOI PAS L’ASSURANCE OBLIGATOIRE </w:t>
      </w:r>
    </w:p>
    <w:p w14:paraId="1E32E76E" w14:textId="21E527A0" w:rsidR="00DA7763" w:rsidRPr="009F3387" w:rsidRDefault="00DA7763" w:rsidP="0071634D">
      <w:pPr>
        <w:rPr>
          <w:spacing w:val="-10"/>
        </w:rPr>
      </w:pPr>
    </w:p>
    <w:p w14:paraId="58ECEA97" w14:textId="1DC1AA36" w:rsidR="00B0551B" w:rsidRDefault="00DA7763" w:rsidP="00B02F02">
      <w:pPr>
        <w:rPr>
          <w:spacing w:val="-10"/>
        </w:rPr>
      </w:pPr>
      <w:r w:rsidRPr="009F3387">
        <w:rPr>
          <w:spacing w:val="-10"/>
        </w:rPr>
        <w:t>La dépendance constitue un sujet d’inquiétude récurrent pour les Français. Le récent rapport de Dominique Libault « Grand âge et autonomie » privilégie un financement par l’impôt (</w:t>
      </w:r>
      <w:r w:rsidR="00DF1E18">
        <w:rPr>
          <w:spacing w:val="-10"/>
        </w:rPr>
        <w:t xml:space="preserve">contribution à la réduction de la dette sociale - </w:t>
      </w:r>
      <w:r w:rsidRPr="009F3387">
        <w:rPr>
          <w:spacing w:val="-10"/>
        </w:rPr>
        <w:t xml:space="preserve">CRDS </w:t>
      </w:r>
      <w:r w:rsidR="00DF1E18">
        <w:rPr>
          <w:spacing w:val="-10"/>
        </w:rPr>
        <w:t xml:space="preserve">- </w:t>
      </w:r>
      <w:r w:rsidRPr="009F3387">
        <w:rPr>
          <w:spacing w:val="-10"/>
        </w:rPr>
        <w:t xml:space="preserve">notamment) et semble récuser la voie assurantielle. Si une majorité relative des sondés considère que la dépendance relève de la solidarité, l’option </w:t>
      </w:r>
      <w:r w:rsidR="00277ED7" w:rsidRPr="009F3387">
        <w:rPr>
          <w:spacing w:val="-10"/>
        </w:rPr>
        <w:t>de l’assurance obligatoire</w:t>
      </w:r>
      <w:r w:rsidR="00F80F7D">
        <w:rPr>
          <w:spacing w:val="-10"/>
        </w:rPr>
        <w:t>,</w:t>
      </w:r>
      <w:r w:rsidR="00277ED7" w:rsidRPr="009F3387">
        <w:rPr>
          <w:spacing w:val="-10"/>
        </w:rPr>
        <w:t xml:space="preserve"> au moment du </w:t>
      </w:r>
      <w:r w:rsidR="00E71788" w:rsidRPr="009F3387">
        <w:rPr>
          <w:spacing w:val="-10"/>
        </w:rPr>
        <w:t>d</w:t>
      </w:r>
      <w:r w:rsidR="00277ED7" w:rsidRPr="009F3387">
        <w:rPr>
          <w:spacing w:val="-10"/>
        </w:rPr>
        <w:t>épart à la retraite</w:t>
      </w:r>
      <w:r w:rsidR="00F80F7D">
        <w:rPr>
          <w:spacing w:val="-10"/>
        </w:rPr>
        <w:t>,</w:t>
      </w:r>
      <w:r w:rsidR="00277ED7" w:rsidRPr="009F3387">
        <w:rPr>
          <w:spacing w:val="-10"/>
        </w:rPr>
        <w:t xml:space="preserve"> </w:t>
      </w:r>
      <w:r w:rsidRPr="009F3387">
        <w:rPr>
          <w:spacing w:val="-10"/>
        </w:rPr>
        <w:t>re</w:t>
      </w:r>
      <w:r w:rsidR="00277ED7" w:rsidRPr="009F3387">
        <w:rPr>
          <w:spacing w:val="-10"/>
        </w:rPr>
        <w:t>çoit l’assentiment de 37 % de</w:t>
      </w:r>
      <w:r w:rsidR="00F80F7D">
        <w:rPr>
          <w:spacing w:val="-10"/>
        </w:rPr>
        <w:t>s sondés</w:t>
      </w:r>
      <w:r w:rsidR="00277ED7" w:rsidRPr="009F3387">
        <w:rPr>
          <w:spacing w:val="-10"/>
        </w:rPr>
        <w:t>. Ce taux est de plus de 44 % chez les 65 ans et plus.</w:t>
      </w:r>
      <w:r w:rsidR="00B0551B">
        <w:rPr>
          <w:spacing w:val="-10"/>
        </w:rPr>
        <w:t xml:space="preserve"> Les seniors ont conscience que face au risque de dépendance</w:t>
      </w:r>
      <w:r w:rsidR="00A771E2">
        <w:rPr>
          <w:spacing w:val="-10"/>
        </w:rPr>
        <w:t>,</w:t>
      </w:r>
      <w:r w:rsidR="00B0551B">
        <w:rPr>
          <w:spacing w:val="-10"/>
        </w:rPr>
        <w:t xml:space="preserve"> la logique de l’assurance constitue une solution à envisager. Ce sentiment est plus prégnant chez les Français dont les revenus mensuels dépassent </w:t>
      </w:r>
      <w:r w:rsidR="00B0551B" w:rsidRPr="003B2773">
        <w:t>4</w:t>
      </w:r>
      <w:r w:rsidR="00A771E2">
        <w:t> </w:t>
      </w:r>
      <w:r w:rsidR="00B0551B" w:rsidRPr="003B2773">
        <w:t>000</w:t>
      </w:r>
      <w:r w:rsidR="00B0551B">
        <w:rPr>
          <w:spacing w:val="-10"/>
        </w:rPr>
        <w:t xml:space="preserve"> </w:t>
      </w:r>
      <w:r w:rsidR="00DF1E18">
        <w:rPr>
          <w:rFonts w:cs="Arial"/>
          <w:spacing w:val="-10"/>
        </w:rPr>
        <w:t>€</w:t>
      </w:r>
      <w:r w:rsidR="00B0551B">
        <w:rPr>
          <w:spacing w:val="-10"/>
        </w:rPr>
        <w:t xml:space="preserve"> ou chez les travailleurs </w:t>
      </w:r>
      <w:r w:rsidR="00666A34">
        <w:rPr>
          <w:spacing w:val="-10"/>
        </w:rPr>
        <w:t>non-salariés</w:t>
      </w:r>
      <w:r w:rsidR="00B0551B">
        <w:rPr>
          <w:spacing w:val="-10"/>
        </w:rPr>
        <w:t>.</w:t>
      </w:r>
    </w:p>
    <w:p w14:paraId="0D95C705" w14:textId="77777777" w:rsidR="00666A34" w:rsidRDefault="00666A34" w:rsidP="00B02F02">
      <w:pPr>
        <w:rPr>
          <w:spacing w:val="-10"/>
        </w:rPr>
      </w:pPr>
    </w:p>
    <w:p w14:paraId="79434121" w14:textId="73FA005D" w:rsidR="00B02F02" w:rsidRPr="009F3387" w:rsidRDefault="00B02F02" w:rsidP="00B02F02">
      <w:pPr>
        <w:rPr>
          <w:spacing w:val="-10"/>
          <w:sz w:val="15"/>
        </w:rPr>
      </w:pPr>
      <w:r w:rsidRPr="009F3387">
        <w:rPr>
          <w:noProof/>
          <w:spacing w:val="-10"/>
          <w:lang w:eastAsia="fr-FR"/>
        </w:rPr>
        <w:drawing>
          <wp:inline distT="0" distB="0" distL="0" distR="0" wp14:anchorId="7513EAC5" wp14:editId="5FFE24DF">
            <wp:extent cx="5759450" cy="3159369"/>
            <wp:effectExtent l="0" t="0" r="12700" b="3175"/>
            <wp:docPr id="34" name="Graphique 34">
              <a:extLst xmlns:a="http://schemas.openxmlformats.org/drawingml/2006/main">
                <a:ext uri="{FF2B5EF4-FFF2-40B4-BE49-F238E27FC236}">
                  <a16:creationId xmlns:a16="http://schemas.microsoft.com/office/drawing/2014/main" id="{2EE9AF02-B2D7-4542-8B24-CBE4D1E59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F3387">
        <w:rPr>
          <w:spacing w:val="-10"/>
          <w:sz w:val="15"/>
        </w:rPr>
        <w:t>Source : Cercle de l’Épargne / Amphitéa / CECOP/IFOP</w:t>
      </w:r>
    </w:p>
    <w:p w14:paraId="45F5E018" w14:textId="4DFEDB20" w:rsidR="00B02F02" w:rsidRDefault="00B02F02">
      <w:pPr>
        <w:spacing w:after="160" w:line="259" w:lineRule="auto"/>
        <w:jc w:val="left"/>
        <w:rPr>
          <w:spacing w:val="-10"/>
        </w:rPr>
      </w:pPr>
      <w:r>
        <w:rPr>
          <w:spacing w:val="-10"/>
        </w:rPr>
        <w:br w:type="page"/>
      </w:r>
    </w:p>
    <w:p w14:paraId="110789F6" w14:textId="7763AD22" w:rsidR="00996BE4" w:rsidRPr="009F3387" w:rsidRDefault="00191631" w:rsidP="0071634D">
      <w:pPr>
        <w:rPr>
          <w:b/>
          <w:color w:val="E81C23"/>
          <w:spacing w:val="-10"/>
          <w:sz w:val="28"/>
        </w:rPr>
      </w:pPr>
      <w:r w:rsidRPr="009F3387">
        <w:rPr>
          <w:b/>
          <w:color w:val="E81C23"/>
          <w:spacing w:val="-10"/>
          <w:sz w:val="28"/>
        </w:rPr>
        <w:lastRenderedPageBreak/>
        <w:t xml:space="preserve">CONCLUSION </w:t>
      </w:r>
    </w:p>
    <w:p w14:paraId="69444DE6" w14:textId="1411C96C" w:rsidR="00996BE4" w:rsidRDefault="00996BE4" w:rsidP="0071634D">
      <w:pPr>
        <w:rPr>
          <w:spacing w:val="-10"/>
        </w:rPr>
      </w:pPr>
    </w:p>
    <w:p w14:paraId="0968E850" w14:textId="77777777" w:rsidR="00C673CF" w:rsidRPr="009F3387" w:rsidRDefault="00C673CF" w:rsidP="0071634D">
      <w:pPr>
        <w:rPr>
          <w:spacing w:val="-10"/>
        </w:rPr>
      </w:pPr>
    </w:p>
    <w:p w14:paraId="7C6D5ED9" w14:textId="186B9BCD" w:rsidR="00996BE4" w:rsidRPr="009F3387" w:rsidRDefault="00996BE4" w:rsidP="0071634D">
      <w:pPr>
        <w:rPr>
          <w:spacing w:val="-10"/>
        </w:rPr>
      </w:pPr>
      <w:r w:rsidRPr="009F3387">
        <w:rPr>
          <w:spacing w:val="-10"/>
        </w:rPr>
        <w:t>L’</w:t>
      </w:r>
      <w:r w:rsidR="00CF180D" w:rsidRPr="009F3387">
        <w:rPr>
          <w:spacing w:val="-10"/>
        </w:rPr>
        <w:t>enquête</w:t>
      </w:r>
      <w:r w:rsidRPr="009F3387">
        <w:rPr>
          <w:spacing w:val="-10"/>
        </w:rPr>
        <w:t xml:space="preserve"> 201</w:t>
      </w:r>
      <w:r w:rsidR="00A55A90">
        <w:rPr>
          <w:spacing w:val="-10"/>
        </w:rPr>
        <w:t>9</w:t>
      </w:r>
      <w:r w:rsidRPr="009F3387">
        <w:rPr>
          <w:spacing w:val="-10"/>
        </w:rPr>
        <w:t xml:space="preserve"> du Cercle de l’</w:t>
      </w:r>
      <w:r w:rsidR="00CF180D" w:rsidRPr="009F3387">
        <w:rPr>
          <w:spacing w:val="-10"/>
        </w:rPr>
        <w:t>Épargne</w:t>
      </w:r>
      <w:r w:rsidRPr="009F3387">
        <w:rPr>
          <w:spacing w:val="-10"/>
        </w:rPr>
        <w:t xml:space="preserve"> et d’</w:t>
      </w:r>
      <w:r w:rsidR="00CF180D" w:rsidRPr="009F3387">
        <w:rPr>
          <w:spacing w:val="-10"/>
        </w:rPr>
        <w:t xml:space="preserve">AMPHITÉA </w:t>
      </w:r>
      <w:r w:rsidRPr="009F3387">
        <w:rPr>
          <w:spacing w:val="-10"/>
        </w:rPr>
        <w:t>souligne les points suivants :</w:t>
      </w:r>
    </w:p>
    <w:p w14:paraId="3318A4A1" w14:textId="77777777" w:rsidR="00585F52" w:rsidRPr="009F3387" w:rsidRDefault="00585F52" w:rsidP="0071634D">
      <w:pPr>
        <w:rPr>
          <w:spacing w:val="-10"/>
        </w:rPr>
      </w:pPr>
    </w:p>
    <w:p w14:paraId="6388F760" w14:textId="490102C6" w:rsidR="00585F52" w:rsidRPr="009F3387" w:rsidRDefault="00585F52" w:rsidP="00C87082">
      <w:pPr>
        <w:pStyle w:val="Paragraphedeliste"/>
        <w:numPr>
          <w:ilvl w:val="0"/>
          <w:numId w:val="21"/>
        </w:numPr>
        <w:rPr>
          <w:spacing w:val="-10"/>
        </w:rPr>
      </w:pPr>
      <w:r w:rsidRPr="009F3387">
        <w:rPr>
          <w:spacing w:val="-10"/>
        </w:rPr>
        <w:t>Le regard des Français sur le pouvoir d’achat des pensions actuel</w:t>
      </w:r>
      <w:r w:rsidR="00455AAA" w:rsidRPr="009F3387">
        <w:rPr>
          <w:spacing w:val="-10"/>
        </w:rPr>
        <w:t>les</w:t>
      </w:r>
      <w:r w:rsidRPr="009F3387">
        <w:rPr>
          <w:spacing w:val="-10"/>
        </w:rPr>
        <w:t xml:space="preserve"> ou à venir est plus positif en 2019 qu’en 2018 même s’il reste nettement négatif. Malgré tout, les sondés n’acceptent pas l’idée de travailler plus pour améliorer le</w:t>
      </w:r>
      <w:r w:rsidR="00455AAA" w:rsidRPr="009F3387">
        <w:rPr>
          <w:spacing w:val="-10"/>
        </w:rPr>
        <w:t>ur</w:t>
      </w:r>
      <w:r w:rsidRPr="009F3387">
        <w:rPr>
          <w:spacing w:val="-10"/>
        </w:rPr>
        <w:t xml:space="preserve"> niveau de vie. </w:t>
      </w:r>
    </w:p>
    <w:p w14:paraId="0E60E791" w14:textId="77777777" w:rsidR="00585F52" w:rsidRPr="009F3387" w:rsidRDefault="00585F52" w:rsidP="0071634D">
      <w:pPr>
        <w:rPr>
          <w:spacing w:val="-10"/>
        </w:rPr>
      </w:pPr>
    </w:p>
    <w:p w14:paraId="5B99B4BE" w14:textId="6E31327F" w:rsidR="00585F52" w:rsidRPr="009F3387" w:rsidRDefault="00585F52" w:rsidP="00C87082">
      <w:pPr>
        <w:pStyle w:val="Paragraphedeliste"/>
        <w:numPr>
          <w:ilvl w:val="0"/>
          <w:numId w:val="21"/>
        </w:numPr>
        <w:rPr>
          <w:spacing w:val="-10"/>
        </w:rPr>
      </w:pPr>
      <w:r w:rsidRPr="009F3387">
        <w:rPr>
          <w:spacing w:val="-10"/>
        </w:rPr>
        <w:t>Les Français paraissent prêts à accepter une réforme systémique des retraites sous réserve que le futur régime dit universel prenne en compte certaines spécificités (</w:t>
      </w:r>
      <w:r w:rsidR="009F15D4" w:rsidRPr="009F3387">
        <w:rPr>
          <w:spacing w:val="-10"/>
        </w:rPr>
        <w:t xml:space="preserve">la </w:t>
      </w:r>
      <w:r w:rsidRPr="009F3387">
        <w:rPr>
          <w:spacing w:val="-10"/>
        </w:rPr>
        <w:t>pénibilité par exemple). Ils sont sans illusion sur les objectifs des pouvoirs publics. Ils sont</w:t>
      </w:r>
      <w:r w:rsidR="00F82EA3">
        <w:rPr>
          <w:spacing w:val="-10"/>
        </w:rPr>
        <w:t>,</w:t>
      </w:r>
      <w:r w:rsidRPr="009F3387">
        <w:rPr>
          <w:spacing w:val="-10"/>
        </w:rPr>
        <w:t xml:space="preserve"> en revanche</w:t>
      </w:r>
      <w:r w:rsidR="00F82EA3">
        <w:rPr>
          <w:spacing w:val="-10"/>
        </w:rPr>
        <w:t>,</w:t>
      </w:r>
      <w:r w:rsidRPr="009F3387">
        <w:rPr>
          <w:spacing w:val="-10"/>
        </w:rPr>
        <w:t xml:space="preserve"> opposés au report à 65 ans de l’âge légal de départ à la retraite. </w:t>
      </w:r>
    </w:p>
    <w:p w14:paraId="0ADC9310" w14:textId="77777777" w:rsidR="00996BE4" w:rsidRPr="009F3387" w:rsidRDefault="00996BE4" w:rsidP="0071634D">
      <w:pPr>
        <w:rPr>
          <w:spacing w:val="-10"/>
        </w:rPr>
      </w:pPr>
    </w:p>
    <w:p w14:paraId="57335AC7" w14:textId="752287D3" w:rsidR="00996BE4" w:rsidRPr="009F3387" w:rsidRDefault="00585F52" w:rsidP="00C87082">
      <w:pPr>
        <w:pStyle w:val="Paragraphedeliste"/>
        <w:numPr>
          <w:ilvl w:val="0"/>
          <w:numId w:val="21"/>
        </w:numPr>
        <w:rPr>
          <w:spacing w:val="-10"/>
        </w:rPr>
      </w:pPr>
      <w:r w:rsidRPr="009F3387">
        <w:rPr>
          <w:spacing w:val="-10"/>
        </w:rPr>
        <w:t xml:space="preserve">Les produits d’épargne </w:t>
      </w:r>
      <w:r w:rsidRPr="00EC6B0D">
        <w:rPr>
          <w:spacing w:val="-10"/>
        </w:rPr>
        <w:t>retrouvent quelque lustre</w:t>
      </w:r>
      <w:r w:rsidRPr="009F3387">
        <w:rPr>
          <w:spacing w:val="-10"/>
        </w:rPr>
        <w:t xml:space="preserve"> </w:t>
      </w:r>
      <w:r w:rsidR="00455AAA" w:rsidRPr="009F3387">
        <w:rPr>
          <w:spacing w:val="-10"/>
        </w:rPr>
        <w:t xml:space="preserve">auprès des Français </w:t>
      </w:r>
      <w:r w:rsidRPr="009F3387">
        <w:rPr>
          <w:spacing w:val="-10"/>
        </w:rPr>
        <w:t xml:space="preserve">en 2019. La demande de sécurité, de précaution reste très forte. Elle se matérialise tant dans les objectifs poursuivis en matière d’épargne qu’à travers le choix des produits. </w:t>
      </w:r>
    </w:p>
    <w:p w14:paraId="396E544B" w14:textId="58A49338" w:rsidR="00585F52" w:rsidRPr="009F3387" w:rsidRDefault="00585F52" w:rsidP="0071634D">
      <w:pPr>
        <w:rPr>
          <w:spacing w:val="-10"/>
        </w:rPr>
      </w:pPr>
    </w:p>
    <w:p w14:paraId="69D38A2C" w14:textId="70EEFC06" w:rsidR="00585F52" w:rsidRPr="009F3387" w:rsidRDefault="00585F52" w:rsidP="00C87082">
      <w:pPr>
        <w:pStyle w:val="Paragraphedeliste"/>
        <w:numPr>
          <w:ilvl w:val="0"/>
          <w:numId w:val="21"/>
        </w:numPr>
        <w:rPr>
          <w:spacing w:val="-10"/>
        </w:rPr>
      </w:pPr>
      <w:r w:rsidRPr="009F3387">
        <w:rPr>
          <w:spacing w:val="-10"/>
        </w:rPr>
        <w:t xml:space="preserve">En matière de dépendance, si pour son financement les Français privilégient </w:t>
      </w:r>
      <w:r w:rsidR="00F82EA3">
        <w:rPr>
          <w:spacing w:val="-10"/>
        </w:rPr>
        <w:t>la solidarité nationale</w:t>
      </w:r>
      <w:r w:rsidR="00D106C0" w:rsidRPr="009F3387">
        <w:rPr>
          <w:spacing w:val="-10"/>
        </w:rPr>
        <w:t xml:space="preserve">, l’idée d’une assurance obligatoire à souscrire au moment de la cessation d’activité s’impose surtout chez les 50/64 ans. </w:t>
      </w:r>
    </w:p>
    <w:p w14:paraId="682E5DAE" w14:textId="77777777" w:rsidR="008F2107" w:rsidRPr="009F3387" w:rsidRDefault="008F2107" w:rsidP="00C87082">
      <w:pPr>
        <w:pStyle w:val="Paragraphedeliste"/>
        <w:numPr>
          <w:ilvl w:val="0"/>
          <w:numId w:val="21"/>
        </w:numPr>
        <w:spacing w:line="259" w:lineRule="auto"/>
        <w:jc w:val="left"/>
        <w:rPr>
          <w:spacing w:val="-10"/>
        </w:rPr>
      </w:pPr>
      <w:r w:rsidRPr="009F3387">
        <w:rPr>
          <w:spacing w:val="-10"/>
        </w:rPr>
        <w:br w:type="page"/>
      </w:r>
    </w:p>
    <w:p w14:paraId="76CE6B65" w14:textId="2B4F5917" w:rsidR="00484F13" w:rsidRPr="009F3387" w:rsidRDefault="005530EA" w:rsidP="00484F13">
      <w:pPr>
        <w:rPr>
          <w:rFonts w:cs="Arial"/>
          <w:i/>
          <w:spacing w:val="-10"/>
          <w:sz w:val="23"/>
          <w:szCs w:val="23"/>
        </w:rPr>
      </w:pPr>
      <w:r w:rsidRPr="009F3387">
        <w:rPr>
          <w:rFonts w:cs="Arial"/>
          <w:i/>
          <w:color w:val="E71C23"/>
          <w:spacing w:val="-10"/>
          <w:sz w:val="23"/>
          <w:szCs w:val="23"/>
        </w:rPr>
        <w:lastRenderedPageBreak/>
        <w:t>*</w:t>
      </w:r>
      <w:r w:rsidRPr="009F3387">
        <w:rPr>
          <w:rFonts w:cs="Arial"/>
          <w:i/>
          <w:spacing w:val="-10"/>
          <w:sz w:val="23"/>
          <w:szCs w:val="23"/>
        </w:rPr>
        <w:t xml:space="preserve"> </w:t>
      </w:r>
      <w:r w:rsidR="00484F13" w:rsidRPr="009F3387">
        <w:rPr>
          <w:rFonts w:cs="Arial"/>
          <w:i/>
          <w:spacing w:val="-10"/>
          <w:sz w:val="23"/>
          <w:szCs w:val="23"/>
        </w:rPr>
        <w:t xml:space="preserve">À la demande du Cercle de l’Épargne et d’Amphitéa, le Centre d’études et de connaissances sur l’opinion publique (CECOP) a conduit une étude sur les Français, la retraite et l’épargne. </w:t>
      </w:r>
      <w:r w:rsidR="00484F13" w:rsidRPr="009F3387">
        <w:rPr>
          <w:rFonts w:cs="Arial"/>
          <w:i/>
          <w:spacing w:val="-10"/>
          <w:sz w:val="23"/>
          <w:szCs w:val="23"/>
        </w:rPr>
        <w:t xml:space="preserve"> L’enquête a été réalisée sur internet du 6 au 11 février 2019 auprès d’un échantillon de 1 003 personnes représentatif de la population française âgée de 18 ans et plus, constitué d’après la méthode des quotas (sexe, âge, profession de la personne interrogée) après stratification par région et catégorie d’agglomération. Le terrain d’enquête a été confié à l’IFOP. </w:t>
      </w:r>
    </w:p>
    <w:p w14:paraId="4FA99DBE" w14:textId="49E86D34" w:rsidR="00FA72D0" w:rsidRPr="009F3387" w:rsidRDefault="00FA72D0" w:rsidP="00484F13">
      <w:pPr>
        <w:rPr>
          <w:rFonts w:cs="Arial"/>
          <w:spacing w:val="-10"/>
          <w:sz w:val="23"/>
          <w:szCs w:val="23"/>
        </w:rPr>
      </w:pPr>
    </w:p>
    <w:p w14:paraId="4820810B" w14:textId="77777777" w:rsidR="005530EA" w:rsidRPr="009F3387" w:rsidRDefault="005530EA" w:rsidP="0071634D">
      <w:pPr>
        <w:rPr>
          <w:rStyle w:val="Lienhypertexte"/>
          <w:rFonts w:cs="Arial"/>
          <w:spacing w:val="-10"/>
          <w:sz w:val="23"/>
          <w:szCs w:val="23"/>
        </w:rPr>
      </w:pPr>
      <w:r w:rsidRPr="009F3387">
        <w:rPr>
          <w:rFonts w:cs="Arial"/>
          <w:b/>
          <w:color w:val="E81D23"/>
          <w:spacing w:val="-10"/>
          <w:sz w:val="23"/>
          <w:szCs w:val="23"/>
        </w:rPr>
        <w:t xml:space="preserve">Tous les résultats de l’enquête sont sur le site du Cercle : </w:t>
      </w:r>
      <w:r w:rsidRPr="009F3387">
        <w:rPr>
          <w:color w:val="E81D23"/>
          <w:spacing w:val="-10"/>
          <w:sz w:val="23"/>
          <w:szCs w:val="23"/>
        </w:rPr>
        <w:fldChar w:fldCharType="begin"/>
      </w:r>
      <w:r w:rsidR="00915410" w:rsidRPr="009F3387">
        <w:rPr>
          <w:color w:val="E81D23"/>
          <w:spacing w:val="-10"/>
          <w:sz w:val="23"/>
          <w:szCs w:val="23"/>
        </w:rPr>
        <w:instrText>HYPERLINK "http://www.cercledelepargne.com/"</w:instrText>
      </w:r>
      <w:r w:rsidRPr="009F3387">
        <w:rPr>
          <w:color w:val="E81D23"/>
          <w:spacing w:val="-10"/>
          <w:sz w:val="23"/>
          <w:szCs w:val="23"/>
        </w:rPr>
        <w:fldChar w:fldCharType="separate"/>
      </w:r>
      <w:r w:rsidRPr="009F3387">
        <w:rPr>
          <w:rStyle w:val="Lienhypertexte"/>
          <w:spacing w:val="-10"/>
          <w:sz w:val="23"/>
          <w:szCs w:val="23"/>
        </w:rPr>
        <w:t>www.cercledelepargne.com</w:t>
      </w:r>
    </w:p>
    <w:p w14:paraId="220358A4" w14:textId="77777777" w:rsidR="005530EA" w:rsidRPr="009F3387" w:rsidRDefault="005530EA" w:rsidP="0071634D">
      <w:pPr>
        <w:rPr>
          <w:color w:val="E81D23"/>
          <w:spacing w:val="-10"/>
          <w:sz w:val="23"/>
          <w:szCs w:val="23"/>
        </w:rPr>
      </w:pPr>
      <w:r w:rsidRPr="009F3387">
        <w:rPr>
          <w:color w:val="E81D23"/>
          <w:spacing w:val="-10"/>
          <w:sz w:val="23"/>
          <w:szCs w:val="23"/>
        </w:rPr>
        <w:fldChar w:fldCharType="end"/>
      </w:r>
    </w:p>
    <w:p w14:paraId="756C56A7" w14:textId="77777777" w:rsidR="00915410" w:rsidRPr="009F3387" w:rsidRDefault="00915410" w:rsidP="00191631">
      <w:pPr>
        <w:contextualSpacing/>
        <w:jc w:val="center"/>
        <w:rPr>
          <w:rFonts w:eastAsia="Times New Roman" w:cs="Calibri"/>
          <w:b/>
          <w:color w:val="000000"/>
          <w:spacing w:val="-10"/>
          <w:sz w:val="12"/>
          <w:szCs w:val="23"/>
        </w:rPr>
      </w:pPr>
    </w:p>
    <w:p w14:paraId="58454505" w14:textId="3D06EEAA" w:rsidR="00915410" w:rsidRPr="009F3387" w:rsidRDefault="00915410" w:rsidP="00191631">
      <w:pPr>
        <w:pBdr>
          <w:top w:val="single" w:sz="4" w:space="1" w:color="auto"/>
          <w:left w:val="single" w:sz="4" w:space="4" w:color="auto"/>
          <w:bottom w:val="single" w:sz="4" w:space="1" w:color="auto"/>
          <w:right w:val="single" w:sz="4" w:space="4" w:color="auto"/>
        </w:pBdr>
        <w:contextualSpacing/>
        <w:jc w:val="center"/>
        <w:rPr>
          <w:rFonts w:eastAsia="Times New Roman" w:cs="Calibri"/>
          <w:b/>
          <w:color w:val="000000"/>
          <w:spacing w:val="-10"/>
          <w:sz w:val="22"/>
        </w:rPr>
      </w:pPr>
      <w:r w:rsidRPr="009F3387">
        <w:rPr>
          <w:rFonts w:eastAsia="Times New Roman" w:cs="Calibri"/>
          <w:b/>
          <w:color w:val="000000"/>
          <w:spacing w:val="-10"/>
          <w:sz w:val="22"/>
        </w:rPr>
        <w:t>À propos du Cercle de l’Épargne</w:t>
      </w:r>
    </w:p>
    <w:p w14:paraId="0AB53C06" w14:textId="77777777" w:rsidR="00191631" w:rsidRPr="009F3387" w:rsidRDefault="00191631" w:rsidP="00191631">
      <w:pPr>
        <w:pBdr>
          <w:top w:val="single" w:sz="4" w:space="1" w:color="auto"/>
          <w:left w:val="single" w:sz="4" w:space="4" w:color="auto"/>
          <w:bottom w:val="single" w:sz="4" w:space="1" w:color="auto"/>
          <w:right w:val="single" w:sz="4" w:space="4" w:color="auto"/>
        </w:pBdr>
        <w:spacing w:before="120"/>
        <w:contextualSpacing/>
        <w:jc w:val="center"/>
        <w:rPr>
          <w:rFonts w:eastAsia="Times New Roman" w:cs="Calibri"/>
          <w:b/>
          <w:color w:val="000000"/>
          <w:spacing w:val="-10"/>
          <w:sz w:val="14"/>
        </w:rPr>
      </w:pPr>
    </w:p>
    <w:p w14:paraId="65CC6E7F" w14:textId="2C08FF37"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color w:val="000000"/>
          <w:spacing w:val="-10"/>
          <w:sz w:val="22"/>
        </w:rPr>
      </w:pPr>
      <w:r w:rsidRPr="009F3387">
        <w:rPr>
          <w:rFonts w:eastAsia="Times New Roman" w:cs="Calibri"/>
          <w:color w:val="000000"/>
          <w:spacing w:val="-10"/>
          <w:sz w:val="22"/>
        </w:rPr>
        <w:t xml:space="preserve">Centre d’études et d’information indépendant partenaire d’AG2R LA MONDIALE MATMUT, le Cercle de l’Épargne est présidé par Jean-Pierre Thomas. Il mène des études à dimension économique et sociale et des actions de formation pour comprendre </w:t>
      </w:r>
      <w:r w:rsidRPr="009F3387">
        <w:rPr>
          <w:spacing w:val="-10"/>
          <w:sz w:val="22"/>
        </w:rPr>
        <w:t>les grands</w:t>
      </w:r>
      <w:r w:rsidRPr="009F3387">
        <w:rPr>
          <w:rFonts w:eastAsia="Times New Roman" w:cs="Calibri"/>
          <w:color w:val="000000"/>
          <w:spacing w:val="-10"/>
          <w:sz w:val="22"/>
        </w:rPr>
        <w:t xml:space="preserve"> enjeux de la protection sociale.</w:t>
      </w:r>
    </w:p>
    <w:p w14:paraId="6EB7E071" w14:textId="77777777"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color w:val="000000"/>
          <w:spacing w:val="-10"/>
          <w:sz w:val="22"/>
        </w:rPr>
      </w:pPr>
    </w:p>
    <w:p w14:paraId="1F2A34E1" w14:textId="03F853C1"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pacing w:val="-10"/>
          <w:sz w:val="22"/>
          <w:lang w:eastAsia="fr-FR"/>
        </w:rPr>
      </w:pPr>
      <w:r w:rsidRPr="00EC6B0D">
        <w:rPr>
          <w:rFonts w:eastAsia="Times New Roman" w:cs="Calibri"/>
          <w:color w:val="000000"/>
          <w:spacing w:val="-10"/>
          <w:sz w:val="22"/>
        </w:rPr>
        <w:t xml:space="preserve">Animé par </w:t>
      </w:r>
      <w:r w:rsidRPr="00EC6B0D">
        <w:rPr>
          <w:rFonts w:eastAsia="Times New Roman" w:cs="Calibri"/>
          <w:b/>
          <w:color w:val="000000"/>
          <w:spacing w:val="-10"/>
          <w:sz w:val="22"/>
        </w:rPr>
        <w:t>Philippe Crevel</w:t>
      </w:r>
      <w:r w:rsidRPr="00EC6B0D">
        <w:rPr>
          <w:rFonts w:eastAsia="Times New Roman" w:cs="Calibri"/>
          <w:color w:val="000000"/>
          <w:spacing w:val="-10"/>
          <w:sz w:val="22"/>
        </w:rPr>
        <w:t xml:space="preserve">, le Cercle de l’Épargne bénéficie, pour réaliser ses travaux, de l’appui d’un Conseil scientifique composé de </w:t>
      </w:r>
      <w:r w:rsidRPr="00EC6B0D">
        <w:rPr>
          <w:rFonts w:eastAsia="Times New Roman" w:cs="Arial"/>
          <w:b/>
          <w:spacing w:val="-10"/>
          <w:sz w:val="22"/>
          <w:lang w:eastAsia="fr-FR"/>
        </w:rPr>
        <w:t xml:space="preserve">Robert Baconnier, </w:t>
      </w:r>
      <w:r w:rsidRPr="00EC6B0D">
        <w:rPr>
          <w:rFonts w:eastAsia="Times New Roman" w:cs="Arial"/>
          <w:spacing w:val="-10"/>
          <w:sz w:val="22"/>
          <w:lang w:eastAsia="fr-FR"/>
        </w:rPr>
        <w:t>ancien Directeur général des impôts et ancien Président de l’Association Nationale des Sociétés par Actions,</w:t>
      </w:r>
      <w:r w:rsidRPr="00EC6B0D">
        <w:rPr>
          <w:rFonts w:eastAsia="Times New Roman" w:cs="Arial"/>
          <w:b/>
          <w:spacing w:val="-10"/>
          <w:sz w:val="22"/>
          <w:lang w:eastAsia="fr-FR"/>
        </w:rPr>
        <w:t xml:space="preserve"> Jacques Barthélémy</w:t>
      </w:r>
      <w:r w:rsidRPr="00EC6B0D">
        <w:rPr>
          <w:rFonts w:eastAsia="Times New Roman" w:cs="Arial"/>
          <w:spacing w:val="-10"/>
          <w:sz w:val="22"/>
          <w:lang w:eastAsia="fr-FR"/>
        </w:rPr>
        <w:t>, avocat-conseil en droit social et ancien professeur associé à la faculté de droit de Montpellier</w:t>
      </w:r>
      <w:r w:rsidRPr="00EC6B0D">
        <w:rPr>
          <w:rFonts w:eastAsia="Times New Roman" w:cs="Arial"/>
          <w:b/>
          <w:spacing w:val="-10"/>
          <w:sz w:val="22"/>
          <w:lang w:eastAsia="fr-FR"/>
        </w:rPr>
        <w:t>, Philippe Brossard</w:t>
      </w:r>
      <w:r w:rsidRPr="00EC6B0D">
        <w:rPr>
          <w:rFonts w:eastAsia="Times New Roman" w:cs="Arial"/>
          <w:spacing w:val="-10"/>
          <w:sz w:val="22"/>
          <w:lang w:eastAsia="fr-FR"/>
        </w:rPr>
        <w:t>, chef économiste d’AG2R LA MONDIALE</w:t>
      </w:r>
      <w:r w:rsidR="00EC6B0D" w:rsidRPr="00EC6B0D">
        <w:rPr>
          <w:rFonts w:eastAsia="Times New Roman" w:cs="Arial"/>
          <w:spacing w:val="-10"/>
          <w:sz w:val="22"/>
          <w:lang w:eastAsia="fr-FR"/>
        </w:rPr>
        <w:t> MATMUT</w:t>
      </w:r>
      <w:r w:rsidRPr="00EC6B0D">
        <w:rPr>
          <w:rFonts w:eastAsia="Times New Roman" w:cs="Arial"/>
          <w:spacing w:val="-10"/>
          <w:sz w:val="22"/>
          <w:lang w:eastAsia="fr-FR"/>
        </w:rPr>
        <w:t xml:space="preserve">, </w:t>
      </w:r>
      <w:r w:rsidRPr="00EC6B0D">
        <w:rPr>
          <w:rFonts w:eastAsia="Times New Roman" w:cs="Arial"/>
          <w:b/>
          <w:spacing w:val="-10"/>
          <w:sz w:val="22"/>
          <w:lang w:eastAsia="fr-FR"/>
        </w:rPr>
        <w:t>Marie-Claire Carrère-Gée</w:t>
      </w:r>
      <w:r w:rsidRPr="00EC6B0D">
        <w:rPr>
          <w:rFonts w:eastAsia="Times New Roman" w:cs="Arial"/>
          <w:spacing w:val="-10"/>
          <w:sz w:val="22"/>
          <w:lang w:eastAsia="fr-FR"/>
        </w:rPr>
        <w:t xml:space="preserve">, Présidente du Conseil d’Orientation pour l’Emploi (COE), </w:t>
      </w:r>
      <w:r w:rsidRPr="00EC6B0D">
        <w:rPr>
          <w:rFonts w:eastAsia="Times New Roman" w:cs="Arial"/>
          <w:b/>
          <w:spacing w:val="-10"/>
          <w:sz w:val="22"/>
          <w:lang w:eastAsia="fr-FR"/>
        </w:rPr>
        <w:t>Jean-Marie Colombani</w:t>
      </w:r>
      <w:r w:rsidRPr="00EC6B0D">
        <w:rPr>
          <w:rFonts w:eastAsia="Times New Roman" w:cs="Arial"/>
          <w:spacing w:val="-10"/>
          <w:sz w:val="22"/>
          <w:lang w:eastAsia="fr-FR"/>
        </w:rPr>
        <w:t xml:space="preserve">, ancien Directeur du Monde et fondateur de Slate.fr, </w:t>
      </w:r>
      <w:r w:rsidRPr="00EC6B0D">
        <w:rPr>
          <w:rFonts w:eastAsia="Times New Roman" w:cs="Arial"/>
          <w:b/>
          <w:spacing w:val="-10"/>
          <w:sz w:val="22"/>
          <w:lang w:eastAsia="fr-FR"/>
        </w:rPr>
        <w:t xml:space="preserve">Jean-Paul Fitoussi, </w:t>
      </w:r>
      <w:r w:rsidRPr="00EC6B0D">
        <w:rPr>
          <w:rFonts w:eastAsia="Times New Roman" w:cs="Arial"/>
          <w:spacing w:val="-10"/>
          <w:sz w:val="22"/>
          <w:lang w:eastAsia="fr-FR"/>
        </w:rPr>
        <w:t xml:space="preserve">professeur des universités à l’IEP de Paris, </w:t>
      </w:r>
      <w:r w:rsidRPr="00EC6B0D">
        <w:rPr>
          <w:rFonts w:eastAsia="Times New Roman" w:cs="Arial"/>
          <w:b/>
          <w:spacing w:val="-10"/>
          <w:sz w:val="22"/>
          <w:lang w:eastAsia="fr-FR"/>
        </w:rPr>
        <w:t>Jean-Pierre Gaillard</w:t>
      </w:r>
      <w:r w:rsidRPr="00EC6B0D">
        <w:rPr>
          <w:rFonts w:eastAsia="Times New Roman" w:cs="Arial"/>
          <w:spacing w:val="-10"/>
          <w:sz w:val="22"/>
          <w:lang w:eastAsia="fr-FR"/>
        </w:rPr>
        <w:t xml:space="preserve">, journaliste et chroniqueur boursier, </w:t>
      </w:r>
      <w:r w:rsidRPr="00EC6B0D">
        <w:rPr>
          <w:rFonts w:eastAsia="Times New Roman" w:cs="Arial"/>
          <w:b/>
          <w:spacing w:val="-10"/>
          <w:sz w:val="22"/>
          <w:lang w:eastAsia="fr-FR"/>
        </w:rPr>
        <w:t>Philippe Georges</w:t>
      </w:r>
      <w:r w:rsidRPr="00EC6B0D">
        <w:rPr>
          <w:rFonts w:eastAsia="Times New Roman" w:cs="Arial"/>
          <w:spacing w:val="-10"/>
          <w:sz w:val="22"/>
          <w:lang w:eastAsia="fr-FR"/>
        </w:rPr>
        <w:t xml:space="preserve">, Inspecteur général honoraire des affaires sociales, Président du conseil d’administration de la Caisse autonome nationale de la Sécurité sociale dans les mines (CANSSM), </w:t>
      </w:r>
      <w:r w:rsidRPr="00EC6B0D">
        <w:rPr>
          <w:rFonts w:eastAsia="Times New Roman" w:cs="Arial"/>
          <w:b/>
          <w:spacing w:val="-10"/>
          <w:sz w:val="22"/>
          <w:lang w:eastAsia="fr-FR"/>
        </w:rPr>
        <w:t>Christian Gollier</w:t>
      </w:r>
      <w:r w:rsidRPr="00EC6B0D">
        <w:rPr>
          <w:rFonts w:eastAsia="Times New Roman" w:cs="Arial"/>
          <w:spacing w:val="-10"/>
          <w:sz w:val="22"/>
          <w:lang w:eastAsia="fr-FR"/>
        </w:rPr>
        <w:t xml:space="preserve">, Directeur de la Fondation Jean-Jacques Laffont - Toulouse Sciences Économiques, membre du Laboratoire d'Économie des Ressources Naturelles (LERNA) et Directeur de recherche à l’Institut d'Économie Industrielle (IDEI) à Toulouse, </w:t>
      </w:r>
      <w:r w:rsidRPr="00EC6B0D">
        <w:rPr>
          <w:rFonts w:eastAsia="Times New Roman" w:cs="Arial"/>
          <w:b/>
          <w:spacing w:val="-10"/>
          <w:sz w:val="22"/>
          <w:lang w:eastAsia="fr-FR"/>
        </w:rPr>
        <w:t>Serge Guérin</w:t>
      </w:r>
      <w:r w:rsidRPr="00EC6B0D">
        <w:rPr>
          <w:rFonts w:eastAsia="Times New Roman" w:cs="Arial"/>
          <w:spacing w:val="-10"/>
          <w:sz w:val="22"/>
          <w:lang w:eastAsia="fr-FR"/>
        </w:rPr>
        <w:t xml:space="preserve">, Sociologue, Directeur du MSc "Directeur des établissements de santé", Inseec Paris, </w:t>
      </w:r>
      <w:r w:rsidRPr="00EC6B0D">
        <w:rPr>
          <w:rFonts w:eastAsia="Times New Roman" w:cs="Arial"/>
          <w:b/>
          <w:spacing w:val="-10"/>
          <w:sz w:val="22"/>
          <w:lang w:eastAsia="fr-FR"/>
        </w:rPr>
        <w:t>François Héran</w:t>
      </w:r>
      <w:r w:rsidRPr="00EC6B0D">
        <w:rPr>
          <w:rFonts w:eastAsia="Times New Roman" w:cs="Arial"/>
          <w:spacing w:val="-10"/>
          <w:sz w:val="22"/>
          <w:lang w:eastAsia="fr-FR"/>
        </w:rPr>
        <w:t>, Professeur au Collège de France, Ancien Directeur de l’INED,</w:t>
      </w:r>
      <w:r w:rsidRPr="009F3387">
        <w:rPr>
          <w:rFonts w:eastAsia="Times New Roman" w:cs="Arial"/>
          <w:spacing w:val="-10"/>
          <w:sz w:val="22"/>
          <w:lang w:eastAsia="fr-FR"/>
        </w:rPr>
        <w:t xml:space="preserve"> </w:t>
      </w:r>
      <w:r w:rsidRPr="009F3387">
        <w:rPr>
          <w:rFonts w:eastAsia="Times New Roman" w:cs="Arial"/>
          <w:b/>
          <w:spacing w:val="-10"/>
          <w:sz w:val="22"/>
          <w:lang w:eastAsia="fr-FR"/>
        </w:rPr>
        <w:t>Jérôme Jaffré</w:t>
      </w:r>
      <w:r w:rsidRPr="009F3387">
        <w:rPr>
          <w:rFonts w:eastAsia="Times New Roman" w:cs="Arial"/>
          <w:spacing w:val="-10"/>
          <w:sz w:val="22"/>
          <w:lang w:eastAsia="fr-FR"/>
        </w:rPr>
        <w:t xml:space="preserve">, Directeur du </w:t>
      </w:r>
      <w:r w:rsidRPr="009F3387">
        <w:rPr>
          <w:color w:val="000000"/>
          <w:spacing w:val="-10"/>
          <w:sz w:val="22"/>
        </w:rPr>
        <w:t>Centre d'Études et de Connaissances sur l'Opinion (</w:t>
      </w:r>
      <w:r w:rsidRPr="009F3387">
        <w:rPr>
          <w:rFonts w:eastAsia="Times New Roman" w:cs="Arial"/>
          <w:spacing w:val="-10"/>
          <w:sz w:val="22"/>
          <w:lang w:eastAsia="fr-FR"/>
        </w:rPr>
        <w:t xml:space="preserve">CECOP), </w:t>
      </w:r>
      <w:r w:rsidRPr="009F3387">
        <w:rPr>
          <w:rFonts w:eastAsia="Times New Roman" w:cs="Arial"/>
          <w:b/>
          <w:spacing w:val="-10"/>
          <w:sz w:val="22"/>
          <w:lang w:eastAsia="fr-FR"/>
        </w:rPr>
        <w:t>Florence Legros</w:t>
      </w:r>
      <w:r w:rsidRPr="009F3387">
        <w:rPr>
          <w:rFonts w:eastAsia="Times New Roman" w:cs="Arial"/>
          <w:spacing w:val="-10"/>
          <w:sz w:val="22"/>
          <w:lang w:eastAsia="fr-FR"/>
        </w:rPr>
        <w:t xml:space="preserve">, Directrice Générale de l'ICN Business School, </w:t>
      </w:r>
      <w:r w:rsidRPr="009F3387">
        <w:rPr>
          <w:rFonts w:eastAsia="Times New Roman" w:cs="Arial"/>
          <w:b/>
          <w:spacing w:val="-10"/>
          <w:sz w:val="22"/>
          <w:lang w:eastAsia="fr-FR"/>
        </w:rPr>
        <w:t>Jean-Marie Spaeth,</w:t>
      </w:r>
      <w:r w:rsidRPr="009F3387">
        <w:rPr>
          <w:rFonts w:eastAsia="Times New Roman" w:cs="Arial"/>
          <w:spacing w:val="-10"/>
          <w:sz w:val="22"/>
          <w:lang w:eastAsia="fr-FR"/>
        </w:rPr>
        <w:t xml:space="preserve"> Président honoraire de la CNAMTS et de l’EN3S et </w:t>
      </w:r>
      <w:r w:rsidRPr="009F3387">
        <w:rPr>
          <w:rFonts w:eastAsia="Times New Roman" w:cs="Arial"/>
          <w:b/>
          <w:spacing w:val="-10"/>
          <w:sz w:val="22"/>
          <w:lang w:eastAsia="fr-FR"/>
        </w:rPr>
        <w:t>Jean-Pierre Thomas</w:t>
      </w:r>
      <w:r w:rsidRPr="009F3387">
        <w:rPr>
          <w:rFonts w:eastAsia="Times New Roman" w:cs="Arial"/>
          <w:spacing w:val="-10"/>
          <w:sz w:val="22"/>
          <w:lang w:eastAsia="fr-FR"/>
        </w:rPr>
        <w:t>, ancien député et Président de Thomas Vendôme Investment.</w:t>
      </w:r>
    </w:p>
    <w:p w14:paraId="313B6FE2" w14:textId="77777777"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color w:val="000000"/>
          <w:spacing w:val="-10"/>
          <w:sz w:val="22"/>
        </w:rPr>
      </w:pPr>
    </w:p>
    <w:p w14:paraId="50400A44" w14:textId="77777777"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cs="Calibri"/>
          <w:b/>
          <w:color w:val="000000"/>
          <w:spacing w:val="-10"/>
          <w:sz w:val="22"/>
        </w:rPr>
      </w:pPr>
      <w:r w:rsidRPr="009F3387">
        <w:rPr>
          <w:rFonts w:eastAsia="Times New Roman" w:cs="Calibri"/>
          <w:b/>
          <w:color w:val="000000"/>
          <w:spacing w:val="-10"/>
          <w:sz w:val="22"/>
        </w:rPr>
        <w:t>À propos d’AMPHITÉA</w:t>
      </w:r>
    </w:p>
    <w:p w14:paraId="43D6B263" w14:textId="77777777"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cs="Calibri"/>
          <w:b/>
          <w:color w:val="000000"/>
          <w:spacing w:val="-10"/>
          <w:sz w:val="12"/>
        </w:rPr>
      </w:pPr>
    </w:p>
    <w:p w14:paraId="1E865815" w14:textId="1DE59361" w:rsidR="00191631" w:rsidRPr="009F3387" w:rsidRDefault="00191631" w:rsidP="00191631">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Calibri"/>
          <w:color w:val="000000"/>
          <w:spacing w:val="-10"/>
          <w:sz w:val="22"/>
        </w:rPr>
      </w:pPr>
      <w:r w:rsidRPr="009F3387">
        <w:rPr>
          <w:rFonts w:eastAsia="Times New Roman" w:cs="Calibri"/>
          <w:color w:val="000000"/>
          <w:spacing w:val="-10"/>
          <w:sz w:val="22"/>
        </w:rPr>
        <w:t xml:space="preserve">Au nom et au profit de ses </w:t>
      </w:r>
      <w:r w:rsidR="00610162">
        <w:rPr>
          <w:rFonts w:eastAsia="Times New Roman" w:cs="Calibri"/>
          <w:color w:val="000000"/>
          <w:spacing w:val="-10"/>
          <w:sz w:val="22"/>
        </w:rPr>
        <w:t>a</w:t>
      </w:r>
      <w:r w:rsidRPr="009F3387">
        <w:rPr>
          <w:rFonts w:eastAsia="Times New Roman" w:cs="Calibri"/>
          <w:color w:val="000000"/>
          <w:spacing w:val="-10"/>
          <w:sz w:val="22"/>
        </w:rPr>
        <w:t xml:space="preserve">dhérents, AMPHITÉA est une association d’assurés dont les objectifs sont de négocier, souscrire et faire évoluer auprès d’AG2R LA MONDIALE les meilleurs contrats de santé, prévoyance, épargne et retraite. Elle vise également à communiquer et informer ses </w:t>
      </w:r>
      <w:r w:rsidR="00610162">
        <w:rPr>
          <w:rFonts w:eastAsia="Times New Roman" w:cs="Calibri"/>
          <w:color w:val="000000"/>
          <w:spacing w:val="-10"/>
          <w:sz w:val="22"/>
        </w:rPr>
        <w:t>a</w:t>
      </w:r>
      <w:r w:rsidRPr="009F3387">
        <w:rPr>
          <w:rFonts w:eastAsia="Times New Roman" w:cs="Calibri"/>
          <w:color w:val="000000"/>
          <w:spacing w:val="-10"/>
          <w:sz w:val="22"/>
        </w:rPr>
        <w:t xml:space="preserve">dhérents actuels et ceux à venir sur toutes les thématiques liées à la protection sociale et la protection patrimoniale. </w:t>
      </w:r>
      <w:r w:rsidRPr="009F3387">
        <w:rPr>
          <w:rFonts w:eastAsia="Times New Roman" w:cs="Calibri"/>
          <w:color w:val="000000"/>
          <w:spacing w:val="-10"/>
          <w:sz w:val="22"/>
        </w:rPr>
        <w:br/>
        <w:t>Avec près de 450</w:t>
      </w:r>
      <w:r w:rsidR="00610162">
        <w:rPr>
          <w:rFonts w:eastAsia="Times New Roman" w:cs="Calibri"/>
          <w:color w:val="000000"/>
          <w:spacing w:val="-10"/>
          <w:sz w:val="22"/>
        </w:rPr>
        <w:t xml:space="preserve"> </w:t>
      </w:r>
      <w:r w:rsidRPr="009F3387">
        <w:rPr>
          <w:rFonts w:eastAsia="Times New Roman" w:cs="Calibri"/>
          <w:color w:val="000000"/>
          <w:spacing w:val="-10"/>
          <w:sz w:val="22"/>
        </w:rPr>
        <w:t xml:space="preserve">000 </w:t>
      </w:r>
      <w:r w:rsidR="00610162">
        <w:rPr>
          <w:rFonts w:eastAsia="Times New Roman" w:cs="Calibri"/>
          <w:color w:val="000000"/>
          <w:spacing w:val="-10"/>
          <w:sz w:val="22"/>
        </w:rPr>
        <w:t>a</w:t>
      </w:r>
      <w:r w:rsidRPr="009F3387">
        <w:rPr>
          <w:rFonts w:eastAsia="Times New Roman" w:cs="Calibri"/>
          <w:color w:val="000000"/>
          <w:spacing w:val="-10"/>
          <w:sz w:val="22"/>
        </w:rPr>
        <w:t xml:space="preserve">dhérents, elle s’inscrit aujourd’hui parmi les plus grandes associations d’assurés de France. AMPHITÉA s’appuie également sur un réseau de plus de 100 </w:t>
      </w:r>
      <w:r w:rsidR="00610162">
        <w:rPr>
          <w:rFonts w:eastAsia="Times New Roman" w:cs="Calibri"/>
          <w:color w:val="000000"/>
          <w:spacing w:val="-10"/>
          <w:sz w:val="22"/>
        </w:rPr>
        <w:t>c</w:t>
      </w:r>
      <w:r w:rsidRPr="009F3387">
        <w:rPr>
          <w:rFonts w:eastAsia="Times New Roman" w:cs="Calibri"/>
          <w:color w:val="000000"/>
          <w:spacing w:val="-10"/>
          <w:sz w:val="22"/>
        </w:rPr>
        <w:t>orrespondants régionaux, présents en métropole et en outre-mer, qui représente une force de proposition et de dialogue avec son partenaire assureur.</w:t>
      </w:r>
    </w:p>
    <w:p w14:paraId="484134AE" w14:textId="77777777" w:rsidR="00915410" w:rsidRPr="009F3387" w:rsidRDefault="00915410" w:rsidP="00191631">
      <w:pPr>
        <w:autoSpaceDE w:val="0"/>
        <w:autoSpaceDN w:val="0"/>
        <w:adjustRightInd w:val="0"/>
        <w:jc w:val="center"/>
        <w:rPr>
          <w:rFonts w:eastAsia="Times New Roman" w:cs="Calibri"/>
          <w:b/>
          <w:color w:val="000000"/>
          <w:spacing w:val="-10"/>
          <w:sz w:val="10"/>
          <w:szCs w:val="23"/>
        </w:rPr>
      </w:pPr>
    </w:p>
    <w:p w14:paraId="24AE91F3" w14:textId="77777777" w:rsidR="007026DA" w:rsidRPr="009F3387" w:rsidRDefault="007026DA" w:rsidP="0071634D">
      <w:pPr>
        <w:jc w:val="center"/>
        <w:rPr>
          <w:rFonts w:cs="Arial"/>
          <w:b/>
          <w:spacing w:val="-10"/>
          <w:sz w:val="23"/>
          <w:szCs w:val="23"/>
        </w:rPr>
      </w:pPr>
    </w:p>
    <w:p w14:paraId="2F48E039" w14:textId="6702BDA2" w:rsidR="00B30FF9" w:rsidRPr="009F3387" w:rsidRDefault="005530EA" w:rsidP="0071634D">
      <w:pPr>
        <w:jc w:val="center"/>
        <w:rPr>
          <w:rFonts w:cs="Arial"/>
          <w:b/>
          <w:spacing w:val="-10"/>
          <w:sz w:val="23"/>
          <w:szCs w:val="23"/>
        </w:rPr>
      </w:pPr>
      <w:r w:rsidRPr="009F3387">
        <w:rPr>
          <w:rFonts w:cs="Arial"/>
          <w:b/>
          <w:spacing w:val="-10"/>
          <w:sz w:val="23"/>
          <w:szCs w:val="23"/>
        </w:rPr>
        <w:t>Contact</w:t>
      </w:r>
      <w:r w:rsidR="00B30FF9" w:rsidRPr="009F3387">
        <w:rPr>
          <w:rFonts w:cs="Arial"/>
          <w:b/>
          <w:spacing w:val="-10"/>
          <w:sz w:val="23"/>
          <w:szCs w:val="23"/>
        </w:rPr>
        <w:t>s</w:t>
      </w:r>
      <w:r w:rsidRPr="009F3387">
        <w:rPr>
          <w:rFonts w:cs="Arial"/>
          <w:b/>
          <w:spacing w:val="-10"/>
          <w:sz w:val="23"/>
          <w:szCs w:val="23"/>
        </w:rPr>
        <w:t xml:space="preserve"> presse :</w:t>
      </w:r>
    </w:p>
    <w:p w14:paraId="6F31EC4E" w14:textId="77777777" w:rsidR="007026DA" w:rsidRPr="009F3387" w:rsidRDefault="007026DA" w:rsidP="0071634D">
      <w:pPr>
        <w:jc w:val="center"/>
        <w:rPr>
          <w:rFonts w:cs="Arial"/>
          <w:b/>
          <w:spacing w:val="-10"/>
          <w:sz w:val="10"/>
          <w:szCs w:val="2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B30FF9" w:rsidRPr="009F3387" w14:paraId="759C2914" w14:textId="77777777" w:rsidTr="007026DA">
        <w:trPr>
          <w:trHeight w:val="855"/>
        </w:trPr>
        <w:tc>
          <w:tcPr>
            <w:tcW w:w="4606" w:type="dxa"/>
          </w:tcPr>
          <w:p w14:paraId="19CEBC62" w14:textId="77777777" w:rsidR="00B30FF9" w:rsidRPr="009F3387" w:rsidRDefault="00B30FF9" w:rsidP="0071634D">
            <w:pPr>
              <w:jc w:val="center"/>
              <w:rPr>
                <w:rFonts w:eastAsia="Calibri" w:cs="Arial"/>
                <w:spacing w:val="-10"/>
                <w:sz w:val="23"/>
                <w:szCs w:val="23"/>
              </w:rPr>
            </w:pPr>
            <w:r w:rsidRPr="009F3387">
              <w:rPr>
                <w:rFonts w:eastAsia="Calibri" w:cs="Arial"/>
                <w:spacing w:val="-10"/>
                <w:sz w:val="23"/>
                <w:szCs w:val="23"/>
              </w:rPr>
              <w:t>Sarah Le Gouez</w:t>
            </w:r>
          </w:p>
          <w:p w14:paraId="2B1DAEA1" w14:textId="77777777" w:rsidR="00B30FF9" w:rsidRPr="009F3387" w:rsidRDefault="00B30FF9" w:rsidP="0071634D">
            <w:pPr>
              <w:jc w:val="center"/>
              <w:rPr>
                <w:rFonts w:eastAsia="Calibri" w:cs="Arial"/>
                <w:spacing w:val="-10"/>
                <w:sz w:val="23"/>
                <w:szCs w:val="23"/>
              </w:rPr>
            </w:pPr>
            <w:r w:rsidRPr="009F3387">
              <w:rPr>
                <w:rFonts w:eastAsia="Calibri" w:cs="Arial"/>
                <w:spacing w:val="-10"/>
                <w:sz w:val="23"/>
                <w:szCs w:val="23"/>
              </w:rPr>
              <w:t>06 13 90 75 48</w:t>
            </w:r>
          </w:p>
          <w:p w14:paraId="2CC124B7" w14:textId="77777777" w:rsidR="00B30FF9" w:rsidRPr="009F3387" w:rsidRDefault="00C41AE4" w:rsidP="0071634D">
            <w:pPr>
              <w:jc w:val="center"/>
              <w:rPr>
                <w:rFonts w:cs="Arial"/>
                <w:b/>
                <w:spacing w:val="-10"/>
                <w:sz w:val="23"/>
                <w:szCs w:val="23"/>
              </w:rPr>
            </w:pPr>
            <w:hyperlink r:id="rId19" w:history="1">
              <w:r w:rsidR="00B30FF9" w:rsidRPr="009F3387">
                <w:rPr>
                  <w:rStyle w:val="Lienhypertexte"/>
                  <w:rFonts w:cs="Arial"/>
                  <w:spacing w:val="-10"/>
                  <w:sz w:val="23"/>
                  <w:szCs w:val="23"/>
                </w:rPr>
                <w:t>slegouez@cercledelepargne.fr</w:t>
              </w:r>
            </w:hyperlink>
          </w:p>
        </w:tc>
        <w:tc>
          <w:tcPr>
            <w:tcW w:w="4606" w:type="dxa"/>
          </w:tcPr>
          <w:p w14:paraId="08AA4C3D" w14:textId="77777777" w:rsidR="00B30FF9" w:rsidRPr="009F3387" w:rsidRDefault="00B30FF9" w:rsidP="0071634D">
            <w:pPr>
              <w:jc w:val="center"/>
              <w:rPr>
                <w:rFonts w:cs="Arial"/>
                <w:spacing w:val="-10"/>
                <w:sz w:val="23"/>
                <w:szCs w:val="23"/>
              </w:rPr>
            </w:pPr>
            <w:r w:rsidRPr="009F3387">
              <w:rPr>
                <w:rFonts w:cs="Arial"/>
                <w:spacing w:val="-10"/>
                <w:sz w:val="23"/>
                <w:szCs w:val="23"/>
              </w:rPr>
              <w:t>Philippe Crevel</w:t>
            </w:r>
          </w:p>
          <w:p w14:paraId="083B65C7" w14:textId="77777777" w:rsidR="00B30FF9" w:rsidRPr="009F3387" w:rsidRDefault="00B30FF9" w:rsidP="0071634D">
            <w:pPr>
              <w:jc w:val="center"/>
              <w:rPr>
                <w:rFonts w:cs="Arial"/>
                <w:spacing w:val="-10"/>
                <w:sz w:val="23"/>
                <w:szCs w:val="23"/>
              </w:rPr>
            </w:pPr>
            <w:r w:rsidRPr="009F3387">
              <w:rPr>
                <w:rFonts w:cs="Arial"/>
                <w:spacing w:val="-10"/>
                <w:sz w:val="23"/>
                <w:szCs w:val="23"/>
              </w:rPr>
              <w:t>06 03 84 70 36</w:t>
            </w:r>
          </w:p>
          <w:p w14:paraId="69BC3DCF" w14:textId="77777777" w:rsidR="00B30FF9" w:rsidRPr="009F3387" w:rsidRDefault="00C41AE4" w:rsidP="0071634D">
            <w:pPr>
              <w:jc w:val="center"/>
              <w:rPr>
                <w:rFonts w:cs="Arial"/>
                <w:b/>
                <w:spacing w:val="-10"/>
                <w:sz w:val="23"/>
                <w:szCs w:val="23"/>
              </w:rPr>
            </w:pPr>
            <w:hyperlink r:id="rId20" w:history="1">
              <w:r w:rsidR="00B30FF9" w:rsidRPr="009F3387">
                <w:rPr>
                  <w:rStyle w:val="Lienhypertexte"/>
                  <w:spacing w:val="-10"/>
                  <w:sz w:val="23"/>
                  <w:szCs w:val="23"/>
                </w:rPr>
                <w:t>pcrevel@cercledelepargne.fr</w:t>
              </w:r>
            </w:hyperlink>
          </w:p>
        </w:tc>
      </w:tr>
    </w:tbl>
    <w:p w14:paraId="0808A896" w14:textId="77777777" w:rsidR="00630266" w:rsidRPr="009F3387" w:rsidRDefault="00630266" w:rsidP="0071634D">
      <w:pPr>
        <w:spacing w:line="259" w:lineRule="auto"/>
        <w:jc w:val="left"/>
        <w:rPr>
          <w:spacing w:val="-10"/>
          <w:sz w:val="23"/>
          <w:szCs w:val="23"/>
        </w:rPr>
      </w:pPr>
    </w:p>
    <w:sectPr w:rsidR="00630266" w:rsidRPr="009F3387" w:rsidSect="00C14F65">
      <w:headerReference w:type="default" r:id="rId21"/>
      <w:footerReference w:type="default" r:id="rId22"/>
      <w:headerReference w:type="first" r:id="rId23"/>
      <w:pgSz w:w="11906" w:h="16838"/>
      <w:pgMar w:top="1276"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1EFF" w14:textId="77777777" w:rsidR="00C41AE4" w:rsidRDefault="00C41AE4" w:rsidP="007A29E8">
      <w:r>
        <w:separator/>
      </w:r>
    </w:p>
  </w:endnote>
  <w:endnote w:type="continuationSeparator" w:id="0">
    <w:p w14:paraId="37E82625" w14:textId="77777777" w:rsidR="00C41AE4" w:rsidRDefault="00C41AE4" w:rsidP="007A29E8">
      <w:r>
        <w:continuationSeparator/>
      </w:r>
    </w:p>
  </w:endnote>
  <w:endnote w:type="continuationNotice" w:id="1">
    <w:p w14:paraId="500997F7" w14:textId="77777777" w:rsidR="00C41AE4" w:rsidRDefault="00C4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DDE9" w14:textId="77777777" w:rsidR="007A52A6" w:rsidRPr="007026DA" w:rsidRDefault="00C41AE4">
    <w:pPr>
      <w:pStyle w:val="Pieddepage"/>
      <w:jc w:val="right"/>
      <w:rPr>
        <w:sz w:val="22"/>
      </w:rPr>
    </w:pPr>
    <w:sdt>
      <w:sdtPr>
        <w:rPr>
          <w:sz w:val="22"/>
        </w:rPr>
        <w:id w:val="-34507879"/>
        <w:docPartObj>
          <w:docPartGallery w:val="Page Numbers (Bottom of Page)"/>
          <w:docPartUnique/>
        </w:docPartObj>
      </w:sdtPr>
      <w:sdtEndPr/>
      <w:sdtContent>
        <w:r w:rsidR="007A52A6" w:rsidRPr="007026DA">
          <w:rPr>
            <w:sz w:val="22"/>
          </w:rPr>
          <w:fldChar w:fldCharType="begin"/>
        </w:r>
        <w:r w:rsidR="007A52A6" w:rsidRPr="007026DA">
          <w:rPr>
            <w:sz w:val="22"/>
          </w:rPr>
          <w:instrText>PAGE   \* MERGEFORMAT</w:instrText>
        </w:r>
        <w:r w:rsidR="007A52A6" w:rsidRPr="007026DA">
          <w:rPr>
            <w:sz w:val="22"/>
          </w:rPr>
          <w:fldChar w:fldCharType="separate"/>
        </w:r>
        <w:r w:rsidR="009F15D4">
          <w:rPr>
            <w:noProof/>
            <w:sz w:val="22"/>
          </w:rPr>
          <w:t>13</w:t>
        </w:r>
        <w:r w:rsidR="007A52A6" w:rsidRPr="007026DA">
          <w:rPr>
            <w:sz w:val="22"/>
          </w:rPr>
          <w:fldChar w:fldCharType="end"/>
        </w:r>
      </w:sdtContent>
    </w:sdt>
  </w:p>
  <w:p w14:paraId="370AE64C" w14:textId="77777777" w:rsidR="007A52A6" w:rsidRPr="007026DA" w:rsidRDefault="007A52A6" w:rsidP="007A52A6">
    <w:pPr>
      <w:pStyle w:val="Pieddepage"/>
      <w:jc w:val="center"/>
      <w:rPr>
        <w:b/>
        <w:sz w:val="14"/>
        <w:szCs w:val="16"/>
      </w:rPr>
    </w:pPr>
    <w:r w:rsidRPr="007026DA">
      <w:rPr>
        <w:b/>
        <w:sz w:val="14"/>
        <w:szCs w:val="16"/>
      </w:rPr>
      <w:t>Le Cercle de l’Épargne, de la Retraite et de la Prévoyance</w:t>
    </w:r>
  </w:p>
  <w:p w14:paraId="3831C35B" w14:textId="77777777" w:rsidR="007A52A6" w:rsidRPr="007026DA" w:rsidRDefault="007A52A6" w:rsidP="007A52A6">
    <w:pPr>
      <w:pStyle w:val="Pieddepage"/>
      <w:jc w:val="center"/>
      <w:rPr>
        <w:b/>
        <w:sz w:val="14"/>
        <w:szCs w:val="16"/>
      </w:rPr>
    </w:pPr>
    <w:r w:rsidRPr="007026DA">
      <w:rPr>
        <w:b/>
        <w:sz w:val="14"/>
        <w:szCs w:val="16"/>
      </w:rPr>
      <w:t>104/110, Boulevard Haussmann • 75008 Paris</w:t>
    </w:r>
  </w:p>
  <w:p w14:paraId="68205A6A" w14:textId="77777777" w:rsidR="007A52A6" w:rsidRPr="007026DA" w:rsidRDefault="007A52A6" w:rsidP="007A52A6">
    <w:pPr>
      <w:pStyle w:val="Pieddepage"/>
      <w:jc w:val="center"/>
      <w:rPr>
        <w:b/>
        <w:sz w:val="14"/>
        <w:szCs w:val="16"/>
      </w:rPr>
    </w:pPr>
    <w:r w:rsidRPr="007026DA">
      <w:rPr>
        <w:b/>
        <w:sz w:val="14"/>
        <w:szCs w:val="16"/>
      </w:rPr>
      <w:t xml:space="preserve">01 76 60 85 39 • 01 76 60 86 05 </w:t>
    </w:r>
  </w:p>
  <w:p w14:paraId="3C3984FA" w14:textId="77777777" w:rsidR="00B30FF9" w:rsidRPr="007026DA" w:rsidRDefault="007A52A6" w:rsidP="007A52A6">
    <w:pPr>
      <w:pStyle w:val="Pieddepage"/>
      <w:jc w:val="center"/>
      <w:rPr>
        <w:b/>
        <w:sz w:val="14"/>
        <w:szCs w:val="16"/>
      </w:rPr>
    </w:pPr>
    <w:r w:rsidRPr="007026DA">
      <w:rPr>
        <w:b/>
        <w:sz w:val="14"/>
        <w:szCs w:val="16"/>
      </w:rPr>
      <w:t>www.cercledelepargne.com • contact@cercledelepargne.fr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286E" w14:textId="77777777" w:rsidR="00C41AE4" w:rsidRDefault="00C41AE4" w:rsidP="007A29E8">
      <w:r>
        <w:separator/>
      </w:r>
    </w:p>
  </w:footnote>
  <w:footnote w:type="continuationSeparator" w:id="0">
    <w:p w14:paraId="5FB48244" w14:textId="77777777" w:rsidR="00C41AE4" w:rsidRDefault="00C41AE4" w:rsidP="007A29E8">
      <w:r>
        <w:continuationSeparator/>
      </w:r>
    </w:p>
  </w:footnote>
  <w:footnote w:type="continuationNotice" w:id="1">
    <w:p w14:paraId="45D58CFA" w14:textId="77777777" w:rsidR="00C41AE4" w:rsidRDefault="00C41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3F49" w14:textId="449F5EB5" w:rsidR="00A80E76" w:rsidRPr="00C65D19" w:rsidRDefault="00A80E76" w:rsidP="0071634D">
    <w:pPr>
      <w:pStyle w:val="En-tte"/>
      <w:tabs>
        <w:tab w:val="clear" w:pos="4536"/>
        <w:tab w:val="clear" w:pos="9072"/>
        <w:tab w:val="left" w:pos="1167"/>
      </w:tabs>
      <w:jc w:val="lef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43" w:type="dxa"/>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1"/>
      <w:gridCol w:w="2286"/>
      <w:gridCol w:w="4416"/>
    </w:tblGrid>
    <w:tr w:rsidR="007606DA" w:rsidRPr="00A80E76" w14:paraId="5FE46136" w14:textId="77777777" w:rsidTr="007306D0">
      <w:trPr>
        <w:trHeight w:val="1271"/>
      </w:trPr>
      <w:tc>
        <w:tcPr>
          <w:tcW w:w="3641" w:type="dxa"/>
        </w:tcPr>
        <w:p w14:paraId="0086C479" w14:textId="1F092E0E" w:rsidR="00B91E8B" w:rsidRPr="00A80E76" w:rsidRDefault="00751708" w:rsidP="00B91E8B">
          <w:pPr>
            <w:pStyle w:val="En-tte"/>
            <w:jc w:val="left"/>
            <w:rPr>
              <w:sz w:val="22"/>
            </w:rPr>
          </w:pPr>
          <w:r>
            <w:rPr>
              <w:noProof/>
              <w:sz w:val="22"/>
            </w:rPr>
            <w:drawing>
              <wp:anchor distT="0" distB="0" distL="114300" distR="114300" simplePos="0" relativeHeight="251661312" behindDoc="1" locked="0" layoutInCell="1" allowOverlap="1" wp14:anchorId="3E388C27" wp14:editId="514A7785">
                <wp:simplePos x="0" y="0"/>
                <wp:positionH relativeFrom="column">
                  <wp:posOffset>-47625</wp:posOffset>
                </wp:positionH>
                <wp:positionV relativeFrom="paragraph">
                  <wp:posOffset>241300</wp:posOffset>
                </wp:positionV>
                <wp:extent cx="2253615" cy="542290"/>
                <wp:effectExtent l="0" t="0" r="0" b="0"/>
                <wp:wrapTight wrapText="bothSides">
                  <wp:wrapPolygon edited="0">
                    <wp:start x="4199" y="0"/>
                    <wp:lineTo x="1826" y="1518"/>
                    <wp:lineTo x="913" y="6829"/>
                    <wp:lineTo x="1096" y="12899"/>
                    <wp:lineTo x="2008" y="15934"/>
                    <wp:lineTo x="2191" y="17452"/>
                    <wp:lineTo x="21363" y="17452"/>
                    <wp:lineTo x="21363" y="4553"/>
                    <wp:lineTo x="15885" y="759"/>
                    <wp:lineTo x="5112" y="0"/>
                    <wp:lineTo x="4199"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BAT LOGO CDE TRANSPARENT.png"/>
                        <pic:cNvPicPr/>
                      </pic:nvPicPr>
                      <pic:blipFill rotWithShape="1">
                        <a:blip r:embed="rId1">
                          <a:extLst>
                            <a:ext uri="{28A0092B-C50C-407E-A947-70E740481C1C}">
                              <a14:useLocalDpi xmlns:a14="http://schemas.microsoft.com/office/drawing/2010/main" val="0"/>
                            </a:ext>
                          </a:extLst>
                        </a:blip>
                        <a:srcRect t="8228" r="6330"/>
                        <a:stretch/>
                      </pic:blipFill>
                      <pic:spPr bwMode="auto">
                        <a:xfrm>
                          <a:off x="0" y="0"/>
                          <a:ext cx="2253615" cy="542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86" w:type="dxa"/>
        </w:tcPr>
        <w:p w14:paraId="4D2C0A42" w14:textId="77777777" w:rsidR="00B91E8B" w:rsidRPr="00A80E76" w:rsidRDefault="00B91E8B" w:rsidP="00B91E8B">
          <w:pPr>
            <w:pStyle w:val="En-tte"/>
            <w:jc w:val="left"/>
            <w:rPr>
              <w:sz w:val="22"/>
            </w:rPr>
          </w:pPr>
          <w:r w:rsidRPr="00A80E76">
            <w:rPr>
              <w:noProof/>
              <w:sz w:val="22"/>
              <w:lang w:eastAsia="fr-FR"/>
            </w:rPr>
            <w:drawing>
              <wp:anchor distT="0" distB="0" distL="114300" distR="114300" simplePos="0" relativeHeight="251659264" behindDoc="1" locked="0" layoutInCell="1" allowOverlap="1" wp14:anchorId="177A1D3E" wp14:editId="1029060C">
                <wp:simplePos x="0" y="0"/>
                <wp:positionH relativeFrom="column">
                  <wp:posOffset>7458</wp:posOffset>
                </wp:positionH>
                <wp:positionV relativeFrom="paragraph">
                  <wp:posOffset>221793</wp:posOffset>
                </wp:positionV>
                <wp:extent cx="1307465" cy="422910"/>
                <wp:effectExtent l="0" t="0" r="6985" b="0"/>
                <wp:wrapTight wrapText="bothSides">
                  <wp:wrapPolygon edited="0">
                    <wp:start x="0" y="0"/>
                    <wp:lineTo x="0" y="20432"/>
                    <wp:lineTo x="21401" y="20432"/>
                    <wp:lineTo x="21401" y="0"/>
                    <wp:lineTo x="0" y="0"/>
                  </wp:wrapPolygon>
                </wp:wrapTight>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HIT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7465" cy="422910"/>
                        </a:xfrm>
                        <a:prstGeom prst="rect">
                          <a:avLst/>
                        </a:prstGeom>
                      </pic:spPr>
                    </pic:pic>
                  </a:graphicData>
                </a:graphic>
                <wp14:sizeRelH relativeFrom="page">
                  <wp14:pctWidth>0</wp14:pctWidth>
                </wp14:sizeRelH>
                <wp14:sizeRelV relativeFrom="page">
                  <wp14:pctHeight>0</wp14:pctHeight>
                </wp14:sizeRelV>
              </wp:anchor>
            </w:drawing>
          </w:r>
        </w:p>
      </w:tc>
      <w:tc>
        <w:tcPr>
          <w:tcW w:w="4416" w:type="dxa"/>
        </w:tcPr>
        <w:p w14:paraId="62368049" w14:textId="7D972F7C" w:rsidR="00B91E8B" w:rsidRPr="00C14F65" w:rsidRDefault="00EF5FCC" w:rsidP="007306D0">
          <w:pPr>
            <w:pStyle w:val="En-tte"/>
            <w:jc w:val="left"/>
            <w:rPr>
              <w:b/>
              <w:sz w:val="22"/>
            </w:rPr>
          </w:pPr>
          <w:r>
            <w:rPr>
              <w:b/>
              <w:noProof/>
              <w:sz w:val="22"/>
            </w:rPr>
            <w:drawing>
              <wp:anchor distT="0" distB="0" distL="114300" distR="114300" simplePos="0" relativeHeight="251662336" behindDoc="0" locked="0" layoutInCell="1" allowOverlap="1" wp14:anchorId="2C059B4A" wp14:editId="7009804C">
                <wp:simplePos x="0" y="0"/>
                <wp:positionH relativeFrom="column">
                  <wp:posOffset>38100</wp:posOffset>
                </wp:positionH>
                <wp:positionV relativeFrom="paragraph">
                  <wp:posOffset>124460</wp:posOffset>
                </wp:positionV>
                <wp:extent cx="2319020" cy="65849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M_1_RGB0072_2C.png"/>
                        <pic:cNvPicPr/>
                      </pic:nvPicPr>
                      <pic:blipFill>
                        <a:blip r:embed="rId3">
                          <a:extLst>
                            <a:ext uri="{28A0092B-C50C-407E-A947-70E740481C1C}">
                              <a14:useLocalDpi xmlns:a14="http://schemas.microsoft.com/office/drawing/2010/main" val="0"/>
                            </a:ext>
                          </a:extLst>
                        </a:blip>
                        <a:stretch>
                          <a:fillRect/>
                        </a:stretch>
                      </pic:blipFill>
                      <pic:spPr>
                        <a:xfrm>
                          <a:off x="0" y="0"/>
                          <a:ext cx="2319020" cy="658495"/>
                        </a:xfrm>
                        <a:prstGeom prst="rect">
                          <a:avLst/>
                        </a:prstGeom>
                      </pic:spPr>
                    </pic:pic>
                  </a:graphicData>
                </a:graphic>
                <wp14:sizeRelH relativeFrom="margin">
                  <wp14:pctWidth>0</wp14:pctWidth>
                </wp14:sizeRelH>
                <wp14:sizeRelV relativeFrom="margin">
                  <wp14:pctHeight>0</wp14:pctHeight>
                </wp14:sizeRelV>
              </wp:anchor>
            </w:drawing>
          </w:r>
        </w:p>
      </w:tc>
    </w:tr>
  </w:tbl>
  <w:p w14:paraId="7743F673" w14:textId="77777777" w:rsidR="00B91E8B" w:rsidRPr="00B91E8B" w:rsidRDefault="00B91E8B" w:rsidP="00B91E8B">
    <w:pPr>
      <w:pStyle w:val="En-tt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89A"/>
    <w:multiLevelType w:val="hybridMultilevel"/>
    <w:tmpl w:val="0DC48B7C"/>
    <w:lvl w:ilvl="0" w:tplc="040C000F">
      <w:start w:val="1"/>
      <w:numFmt w:val="decimal"/>
      <w:lvlText w:val="%1."/>
      <w:lvlJc w:val="left"/>
      <w:pPr>
        <w:ind w:left="2771" w:hanging="360"/>
      </w:pPr>
      <w:rPr>
        <w:rFonts w:hint="default"/>
      </w:rPr>
    </w:lvl>
    <w:lvl w:ilvl="1" w:tplc="040C0019" w:tentative="1">
      <w:start w:val="1"/>
      <w:numFmt w:val="lowerLetter"/>
      <w:lvlText w:val="%2."/>
      <w:lvlJc w:val="left"/>
      <w:pPr>
        <w:ind w:left="3491" w:hanging="360"/>
      </w:pPr>
    </w:lvl>
    <w:lvl w:ilvl="2" w:tplc="040C001B" w:tentative="1">
      <w:start w:val="1"/>
      <w:numFmt w:val="lowerRoman"/>
      <w:lvlText w:val="%3."/>
      <w:lvlJc w:val="right"/>
      <w:pPr>
        <w:ind w:left="4211" w:hanging="180"/>
      </w:pPr>
    </w:lvl>
    <w:lvl w:ilvl="3" w:tplc="040C000F" w:tentative="1">
      <w:start w:val="1"/>
      <w:numFmt w:val="decimal"/>
      <w:lvlText w:val="%4."/>
      <w:lvlJc w:val="left"/>
      <w:pPr>
        <w:ind w:left="4931" w:hanging="360"/>
      </w:pPr>
    </w:lvl>
    <w:lvl w:ilvl="4" w:tplc="040C0019" w:tentative="1">
      <w:start w:val="1"/>
      <w:numFmt w:val="lowerLetter"/>
      <w:lvlText w:val="%5."/>
      <w:lvlJc w:val="left"/>
      <w:pPr>
        <w:ind w:left="5651" w:hanging="360"/>
      </w:pPr>
    </w:lvl>
    <w:lvl w:ilvl="5" w:tplc="040C001B" w:tentative="1">
      <w:start w:val="1"/>
      <w:numFmt w:val="lowerRoman"/>
      <w:lvlText w:val="%6."/>
      <w:lvlJc w:val="right"/>
      <w:pPr>
        <w:ind w:left="6371" w:hanging="180"/>
      </w:pPr>
    </w:lvl>
    <w:lvl w:ilvl="6" w:tplc="040C000F" w:tentative="1">
      <w:start w:val="1"/>
      <w:numFmt w:val="decimal"/>
      <w:lvlText w:val="%7."/>
      <w:lvlJc w:val="left"/>
      <w:pPr>
        <w:ind w:left="7091" w:hanging="360"/>
      </w:pPr>
    </w:lvl>
    <w:lvl w:ilvl="7" w:tplc="040C0019" w:tentative="1">
      <w:start w:val="1"/>
      <w:numFmt w:val="lowerLetter"/>
      <w:lvlText w:val="%8."/>
      <w:lvlJc w:val="left"/>
      <w:pPr>
        <w:ind w:left="7811" w:hanging="360"/>
      </w:pPr>
    </w:lvl>
    <w:lvl w:ilvl="8" w:tplc="040C001B" w:tentative="1">
      <w:start w:val="1"/>
      <w:numFmt w:val="lowerRoman"/>
      <w:lvlText w:val="%9."/>
      <w:lvlJc w:val="right"/>
      <w:pPr>
        <w:ind w:left="8531" w:hanging="180"/>
      </w:pPr>
    </w:lvl>
  </w:abstractNum>
  <w:abstractNum w:abstractNumId="1" w15:restartNumberingAfterBreak="0">
    <w:nsid w:val="05B233B8"/>
    <w:multiLevelType w:val="hybridMultilevel"/>
    <w:tmpl w:val="D09EC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D845DF"/>
    <w:multiLevelType w:val="hybridMultilevel"/>
    <w:tmpl w:val="D1763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EB7296"/>
    <w:multiLevelType w:val="hybridMultilevel"/>
    <w:tmpl w:val="13806CD0"/>
    <w:lvl w:ilvl="0" w:tplc="D58AB09E">
      <w:start w:val="1"/>
      <w:numFmt w:val="upperRoman"/>
      <w:pStyle w:val="Titre1"/>
      <w:lvlText w:val="%1."/>
      <w:lvlJc w:val="left"/>
      <w:pPr>
        <w:ind w:left="1004"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10EDB"/>
    <w:multiLevelType w:val="hybridMultilevel"/>
    <w:tmpl w:val="96ACC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01B61"/>
    <w:multiLevelType w:val="hybridMultilevel"/>
    <w:tmpl w:val="098E09A8"/>
    <w:lvl w:ilvl="0" w:tplc="F70AC4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F63475"/>
    <w:multiLevelType w:val="hybridMultilevel"/>
    <w:tmpl w:val="CA048A36"/>
    <w:lvl w:ilvl="0" w:tplc="C4DCB8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E9679F"/>
    <w:multiLevelType w:val="hybridMultilevel"/>
    <w:tmpl w:val="03460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8E11F7"/>
    <w:multiLevelType w:val="hybridMultilevel"/>
    <w:tmpl w:val="C4568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312BDD"/>
    <w:multiLevelType w:val="hybridMultilevel"/>
    <w:tmpl w:val="EC4CC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707E99"/>
    <w:multiLevelType w:val="hybridMultilevel"/>
    <w:tmpl w:val="90464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3C77D2"/>
    <w:multiLevelType w:val="hybridMultilevel"/>
    <w:tmpl w:val="E844F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CA7471"/>
    <w:multiLevelType w:val="hybridMultilevel"/>
    <w:tmpl w:val="DF068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DA26B4"/>
    <w:multiLevelType w:val="hybridMultilevel"/>
    <w:tmpl w:val="21A63292"/>
    <w:lvl w:ilvl="0" w:tplc="302C81AC">
      <w:start w:val="1"/>
      <w:numFmt w:val="upperRoman"/>
      <w:lvlText w:val="%1."/>
      <w:lvlJc w:val="left"/>
      <w:pPr>
        <w:ind w:left="654" w:hanging="720"/>
      </w:pPr>
      <w:rPr>
        <w:rFonts w:hint="default"/>
        <w:b/>
        <w:color w:val="E81C23"/>
        <w:sz w:val="28"/>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4" w15:restartNumberingAfterBreak="0">
    <w:nsid w:val="5F3F44F3"/>
    <w:multiLevelType w:val="hybridMultilevel"/>
    <w:tmpl w:val="BF827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F21FF2"/>
    <w:multiLevelType w:val="hybridMultilevel"/>
    <w:tmpl w:val="A064CB4C"/>
    <w:lvl w:ilvl="0" w:tplc="040C000F">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65F95D19"/>
    <w:multiLevelType w:val="hybridMultilevel"/>
    <w:tmpl w:val="DB9EDFA6"/>
    <w:lvl w:ilvl="0" w:tplc="95E27C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831885"/>
    <w:multiLevelType w:val="hybridMultilevel"/>
    <w:tmpl w:val="FBB60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2E01CE"/>
    <w:multiLevelType w:val="hybridMultilevel"/>
    <w:tmpl w:val="833E6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994FDE"/>
    <w:multiLevelType w:val="hybridMultilevel"/>
    <w:tmpl w:val="B29C95A0"/>
    <w:lvl w:ilvl="0" w:tplc="89B44F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C165A4"/>
    <w:multiLevelType w:val="hybridMultilevel"/>
    <w:tmpl w:val="26A2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810CC1"/>
    <w:multiLevelType w:val="hybridMultilevel"/>
    <w:tmpl w:val="8B46A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21"/>
  </w:num>
  <w:num w:numId="5">
    <w:abstractNumId w:val="10"/>
  </w:num>
  <w:num w:numId="6">
    <w:abstractNumId w:val="17"/>
  </w:num>
  <w:num w:numId="7">
    <w:abstractNumId w:val="18"/>
  </w:num>
  <w:num w:numId="8">
    <w:abstractNumId w:val="4"/>
  </w:num>
  <w:num w:numId="9">
    <w:abstractNumId w:val="9"/>
  </w:num>
  <w:num w:numId="10">
    <w:abstractNumId w:val="13"/>
  </w:num>
  <w:num w:numId="11">
    <w:abstractNumId w:val="14"/>
  </w:num>
  <w:num w:numId="12">
    <w:abstractNumId w:val="12"/>
  </w:num>
  <w:num w:numId="13">
    <w:abstractNumId w:val="1"/>
  </w:num>
  <w:num w:numId="14">
    <w:abstractNumId w:val="2"/>
  </w:num>
  <w:num w:numId="15">
    <w:abstractNumId w:val="16"/>
  </w:num>
  <w:num w:numId="16">
    <w:abstractNumId w:val="7"/>
  </w:num>
  <w:num w:numId="17">
    <w:abstractNumId w:val="5"/>
  </w:num>
  <w:num w:numId="18">
    <w:abstractNumId w:val="6"/>
  </w:num>
  <w:num w:numId="19">
    <w:abstractNumId w:val="3"/>
  </w:num>
  <w:num w:numId="20">
    <w:abstractNumId w:val="20"/>
  </w:num>
  <w:num w:numId="21">
    <w:abstractNumId w:val="11"/>
  </w:num>
  <w:num w:numId="22">
    <w:abstractNumId w:val="3"/>
  </w:num>
  <w:num w:numId="23">
    <w:abstractNumId w:val="15"/>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31"/>
    <w:rsid w:val="0001133B"/>
    <w:rsid w:val="00012815"/>
    <w:rsid w:val="00014900"/>
    <w:rsid w:val="00014FAE"/>
    <w:rsid w:val="000156BB"/>
    <w:rsid w:val="00015B4A"/>
    <w:rsid w:val="0001796B"/>
    <w:rsid w:val="000202DA"/>
    <w:rsid w:val="00020F2A"/>
    <w:rsid w:val="0002162A"/>
    <w:rsid w:val="000225F1"/>
    <w:rsid w:val="00024CE0"/>
    <w:rsid w:val="00025130"/>
    <w:rsid w:val="00025A04"/>
    <w:rsid w:val="00032450"/>
    <w:rsid w:val="0005198A"/>
    <w:rsid w:val="000561AA"/>
    <w:rsid w:val="00057597"/>
    <w:rsid w:val="000603B8"/>
    <w:rsid w:val="00067148"/>
    <w:rsid w:val="00073154"/>
    <w:rsid w:val="0007617F"/>
    <w:rsid w:val="0007743E"/>
    <w:rsid w:val="00080462"/>
    <w:rsid w:val="0008385D"/>
    <w:rsid w:val="000844C9"/>
    <w:rsid w:val="00084F50"/>
    <w:rsid w:val="000868BA"/>
    <w:rsid w:val="00092B15"/>
    <w:rsid w:val="00095918"/>
    <w:rsid w:val="000A157B"/>
    <w:rsid w:val="000A71BA"/>
    <w:rsid w:val="000A783D"/>
    <w:rsid w:val="000B12ED"/>
    <w:rsid w:val="000B1B99"/>
    <w:rsid w:val="000B2E97"/>
    <w:rsid w:val="000B3458"/>
    <w:rsid w:val="000B4A7F"/>
    <w:rsid w:val="000B586B"/>
    <w:rsid w:val="000C45E0"/>
    <w:rsid w:val="000C4A2E"/>
    <w:rsid w:val="000C7F32"/>
    <w:rsid w:val="000D1614"/>
    <w:rsid w:val="000D512D"/>
    <w:rsid w:val="000D64FC"/>
    <w:rsid w:val="000D7E67"/>
    <w:rsid w:val="000E2C21"/>
    <w:rsid w:val="000E5EA4"/>
    <w:rsid w:val="000F5572"/>
    <w:rsid w:val="000F5B49"/>
    <w:rsid w:val="000F5E34"/>
    <w:rsid w:val="00100338"/>
    <w:rsid w:val="00101073"/>
    <w:rsid w:val="0010270A"/>
    <w:rsid w:val="00104EDA"/>
    <w:rsid w:val="0011165E"/>
    <w:rsid w:val="0011413A"/>
    <w:rsid w:val="00114B5C"/>
    <w:rsid w:val="001171F1"/>
    <w:rsid w:val="00117B51"/>
    <w:rsid w:val="00117E97"/>
    <w:rsid w:val="00121704"/>
    <w:rsid w:val="001229E8"/>
    <w:rsid w:val="00124B78"/>
    <w:rsid w:val="00130594"/>
    <w:rsid w:val="00131543"/>
    <w:rsid w:val="00133A50"/>
    <w:rsid w:val="0013688F"/>
    <w:rsid w:val="00136E8E"/>
    <w:rsid w:val="001372CD"/>
    <w:rsid w:val="001410D5"/>
    <w:rsid w:val="001430CE"/>
    <w:rsid w:val="00146667"/>
    <w:rsid w:val="00150512"/>
    <w:rsid w:val="001508A8"/>
    <w:rsid w:val="001631DA"/>
    <w:rsid w:val="00163583"/>
    <w:rsid w:val="0016431A"/>
    <w:rsid w:val="0016679E"/>
    <w:rsid w:val="001676E3"/>
    <w:rsid w:val="00172415"/>
    <w:rsid w:val="00176567"/>
    <w:rsid w:val="0018154A"/>
    <w:rsid w:val="00182131"/>
    <w:rsid w:val="001839ED"/>
    <w:rsid w:val="00187F0C"/>
    <w:rsid w:val="001905F1"/>
    <w:rsid w:val="00191631"/>
    <w:rsid w:val="00192C0D"/>
    <w:rsid w:val="00192D86"/>
    <w:rsid w:val="001A0A2E"/>
    <w:rsid w:val="001A0C3D"/>
    <w:rsid w:val="001A4FBF"/>
    <w:rsid w:val="001A5D72"/>
    <w:rsid w:val="001A745E"/>
    <w:rsid w:val="001B003C"/>
    <w:rsid w:val="001B3838"/>
    <w:rsid w:val="001B6230"/>
    <w:rsid w:val="001B65A7"/>
    <w:rsid w:val="001C0506"/>
    <w:rsid w:val="001C05A8"/>
    <w:rsid w:val="001C2D86"/>
    <w:rsid w:val="001C35F5"/>
    <w:rsid w:val="001D15F7"/>
    <w:rsid w:val="001E500A"/>
    <w:rsid w:val="001E6D60"/>
    <w:rsid w:val="001F62CC"/>
    <w:rsid w:val="001F6F47"/>
    <w:rsid w:val="001F7A7B"/>
    <w:rsid w:val="00200AB9"/>
    <w:rsid w:val="00212B37"/>
    <w:rsid w:val="002140F1"/>
    <w:rsid w:val="00214327"/>
    <w:rsid w:val="00220885"/>
    <w:rsid w:val="00222201"/>
    <w:rsid w:val="00236F55"/>
    <w:rsid w:val="002427DD"/>
    <w:rsid w:val="00242B61"/>
    <w:rsid w:val="00244829"/>
    <w:rsid w:val="002600CC"/>
    <w:rsid w:val="002612B4"/>
    <w:rsid w:val="00262224"/>
    <w:rsid w:val="002624BA"/>
    <w:rsid w:val="00275096"/>
    <w:rsid w:val="00277ED7"/>
    <w:rsid w:val="002806E3"/>
    <w:rsid w:val="00283772"/>
    <w:rsid w:val="00285305"/>
    <w:rsid w:val="00297D08"/>
    <w:rsid w:val="002A56DA"/>
    <w:rsid w:val="002A65D6"/>
    <w:rsid w:val="002B52F3"/>
    <w:rsid w:val="002C78DB"/>
    <w:rsid w:val="002D3616"/>
    <w:rsid w:val="002D5D68"/>
    <w:rsid w:val="002D74B2"/>
    <w:rsid w:val="002D7CC8"/>
    <w:rsid w:val="002E0509"/>
    <w:rsid w:val="002E0EFE"/>
    <w:rsid w:val="002E1CFE"/>
    <w:rsid w:val="002E289E"/>
    <w:rsid w:val="002E3728"/>
    <w:rsid w:val="002E37D1"/>
    <w:rsid w:val="002E687A"/>
    <w:rsid w:val="002F26E6"/>
    <w:rsid w:val="003017F7"/>
    <w:rsid w:val="00301EA0"/>
    <w:rsid w:val="0030716E"/>
    <w:rsid w:val="00315978"/>
    <w:rsid w:val="00324185"/>
    <w:rsid w:val="00326ACA"/>
    <w:rsid w:val="003306A0"/>
    <w:rsid w:val="0033210F"/>
    <w:rsid w:val="003353A7"/>
    <w:rsid w:val="003452D7"/>
    <w:rsid w:val="00347E39"/>
    <w:rsid w:val="0035032B"/>
    <w:rsid w:val="00351686"/>
    <w:rsid w:val="00355571"/>
    <w:rsid w:val="00356A55"/>
    <w:rsid w:val="003574A0"/>
    <w:rsid w:val="00364B7A"/>
    <w:rsid w:val="00367DE3"/>
    <w:rsid w:val="0037042D"/>
    <w:rsid w:val="0037160A"/>
    <w:rsid w:val="003838C3"/>
    <w:rsid w:val="00384100"/>
    <w:rsid w:val="00386B59"/>
    <w:rsid w:val="00392FB0"/>
    <w:rsid w:val="00393F11"/>
    <w:rsid w:val="00395850"/>
    <w:rsid w:val="00396B0E"/>
    <w:rsid w:val="00397D4E"/>
    <w:rsid w:val="003A08D6"/>
    <w:rsid w:val="003A23E0"/>
    <w:rsid w:val="003B2773"/>
    <w:rsid w:val="003B73BA"/>
    <w:rsid w:val="003C070E"/>
    <w:rsid w:val="003C14A7"/>
    <w:rsid w:val="003C3C33"/>
    <w:rsid w:val="003C6905"/>
    <w:rsid w:val="003C7C43"/>
    <w:rsid w:val="003D6C27"/>
    <w:rsid w:val="003D6D88"/>
    <w:rsid w:val="003E48E6"/>
    <w:rsid w:val="003F21BF"/>
    <w:rsid w:val="003F3C77"/>
    <w:rsid w:val="003F6088"/>
    <w:rsid w:val="003F6705"/>
    <w:rsid w:val="00401E91"/>
    <w:rsid w:val="00403376"/>
    <w:rsid w:val="0040477E"/>
    <w:rsid w:val="004047DB"/>
    <w:rsid w:val="00405394"/>
    <w:rsid w:val="0041294E"/>
    <w:rsid w:val="00412B84"/>
    <w:rsid w:val="00413942"/>
    <w:rsid w:val="00417241"/>
    <w:rsid w:val="004204FD"/>
    <w:rsid w:val="0042146C"/>
    <w:rsid w:val="00425504"/>
    <w:rsid w:val="0042678F"/>
    <w:rsid w:val="0043012B"/>
    <w:rsid w:val="004317D3"/>
    <w:rsid w:val="004342CF"/>
    <w:rsid w:val="00434C6F"/>
    <w:rsid w:val="00435AF8"/>
    <w:rsid w:val="004373B9"/>
    <w:rsid w:val="0043785D"/>
    <w:rsid w:val="00443E19"/>
    <w:rsid w:val="00447844"/>
    <w:rsid w:val="00454619"/>
    <w:rsid w:val="00455AAA"/>
    <w:rsid w:val="00457860"/>
    <w:rsid w:val="00460FB6"/>
    <w:rsid w:val="004613CC"/>
    <w:rsid w:val="00471A5E"/>
    <w:rsid w:val="00472E0E"/>
    <w:rsid w:val="00481F62"/>
    <w:rsid w:val="004823CD"/>
    <w:rsid w:val="00483510"/>
    <w:rsid w:val="00483A02"/>
    <w:rsid w:val="00484F13"/>
    <w:rsid w:val="00486768"/>
    <w:rsid w:val="00492631"/>
    <w:rsid w:val="00494F46"/>
    <w:rsid w:val="004A0F4B"/>
    <w:rsid w:val="004A4737"/>
    <w:rsid w:val="004A5FBE"/>
    <w:rsid w:val="004B0BC5"/>
    <w:rsid w:val="004B15A5"/>
    <w:rsid w:val="004C4830"/>
    <w:rsid w:val="004D028E"/>
    <w:rsid w:val="004D0C96"/>
    <w:rsid w:val="004D112D"/>
    <w:rsid w:val="004D50D5"/>
    <w:rsid w:val="004E5EE4"/>
    <w:rsid w:val="004E5F33"/>
    <w:rsid w:val="004F1C22"/>
    <w:rsid w:val="004F68F6"/>
    <w:rsid w:val="0050104B"/>
    <w:rsid w:val="00503B3D"/>
    <w:rsid w:val="00504276"/>
    <w:rsid w:val="005155BF"/>
    <w:rsid w:val="00516D2A"/>
    <w:rsid w:val="005273C3"/>
    <w:rsid w:val="00534416"/>
    <w:rsid w:val="005363A4"/>
    <w:rsid w:val="00542859"/>
    <w:rsid w:val="00543104"/>
    <w:rsid w:val="005530EA"/>
    <w:rsid w:val="00560CED"/>
    <w:rsid w:val="00564418"/>
    <w:rsid w:val="00567579"/>
    <w:rsid w:val="0056790E"/>
    <w:rsid w:val="00567C1E"/>
    <w:rsid w:val="00572B59"/>
    <w:rsid w:val="005813C9"/>
    <w:rsid w:val="00585669"/>
    <w:rsid w:val="00585F52"/>
    <w:rsid w:val="005871DB"/>
    <w:rsid w:val="00592B74"/>
    <w:rsid w:val="005968B5"/>
    <w:rsid w:val="005A0086"/>
    <w:rsid w:val="005B28CE"/>
    <w:rsid w:val="005B5572"/>
    <w:rsid w:val="005B5D5C"/>
    <w:rsid w:val="005C7C5B"/>
    <w:rsid w:val="005D1186"/>
    <w:rsid w:val="005D1363"/>
    <w:rsid w:val="005D17DC"/>
    <w:rsid w:val="005D5D78"/>
    <w:rsid w:val="005D5EDC"/>
    <w:rsid w:val="005E3F0D"/>
    <w:rsid w:val="005E5B27"/>
    <w:rsid w:val="005F58FE"/>
    <w:rsid w:val="00601ECE"/>
    <w:rsid w:val="0060465F"/>
    <w:rsid w:val="0060578C"/>
    <w:rsid w:val="00606AAB"/>
    <w:rsid w:val="00610162"/>
    <w:rsid w:val="00612AC9"/>
    <w:rsid w:val="00612B7B"/>
    <w:rsid w:val="00613C26"/>
    <w:rsid w:val="00614C02"/>
    <w:rsid w:val="00615343"/>
    <w:rsid w:val="006166C2"/>
    <w:rsid w:val="00616D10"/>
    <w:rsid w:val="006222F0"/>
    <w:rsid w:val="006224F8"/>
    <w:rsid w:val="00630266"/>
    <w:rsid w:val="00632F00"/>
    <w:rsid w:val="0064483D"/>
    <w:rsid w:val="0064569D"/>
    <w:rsid w:val="00651D93"/>
    <w:rsid w:val="006618AA"/>
    <w:rsid w:val="00665B8D"/>
    <w:rsid w:val="00666A34"/>
    <w:rsid w:val="0067246B"/>
    <w:rsid w:val="0067349F"/>
    <w:rsid w:val="0068141C"/>
    <w:rsid w:val="00682688"/>
    <w:rsid w:val="006829FF"/>
    <w:rsid w:val="00682A90"/>
    <w:rsid w:val="00683F1D"/>
    <w:rsid w:val="006842D2"/>
    <w:rsid w:val="006A17CE"/>
    <w:rsid w:val="006A1889"/>
    <w:rsid w:val="006B15A1"/>
    <w:rsid w:val="006C0611"/>
    <w:rsid w:val="006C2688"/>
    <w:rsid w:val="006C6FF6"/>
    <w:rsid w:val="006D0537"/>
    <w:rsid w:val="006D51C7"/>
    <w:rsid w:val="006D7EF2"/>
    <w:rsid w:val="006E02CA"/>
    <w:rsid w:val="006E2807"/>
    <w:rsid w:val="006F14B7"/>
    <w:rsid w:val="006F32DA"/>
    <w:rsid w:val="00701B19"/>
    <w:rsid w:val="00701BBC"/>
    <w:rsid w:val="007026DA"/>
    <w:rsid w:val="00706D07"/>
    <w:rsid w:val="00707912"/>
    <w:rsid w:val="00710CCF"/>
    <w:rsid w:val="00712A25"/>
    <w:rsid w:val="00712D0D"/>
    <w:rsid w:val="0071634D"/>
    <w:rsid w:val="007205B6"/>
    <w:rsid w:val="0072232F"/>
    <w:rsid w:val="00722340"/>
    <w:rsid w:val="007306D0"/>
    <w:rsid w:val="00731990"/>
    <w:rsid w:val="007322F7"/>
    <w:rsid w:val="00737325"/>
    <w:rsid w:val="00740724"/>
    <w:rsid w:val="00742A83"/>
    <w:rsid w:val="00743B12"/>
    <w:rsid w:val="007466D4"/>
    <w:rsid w:val="00746948"/>
    <w:rsid w:val="00751708"/>
    <w:rsid w:val="00753E11"/>
    <w:rsid w:val="0075500B"/>
    <w:rsid w:val="00757002"/>
    <w:rsid w:val="007604AA"/>
    <w:rsid w:val="007606DA"/>
    <w:rsid w:val="00763071"/>
    <w:rsid w:val="00763D75"/>
    <w:rsid w:val="00773A11"/>
    <w:rsid w:val="00773A9F"/>
    <w:rsid w:val="00784A10"/>
    <w:rsid w:val="007872DA"/>
    <w:rsid w:val="007873B8"/>
    <w:rsid w:val="00792953"/>
    <w:rsid w:val="00796C00"/>
    <w:rsid w:val="007A29E8"/>
    <w:rsid w:val="007A4F80"/>
    <w:rsid w:val="007A52A6"/>
    <w:rsid w:val="007A62E2"/>
    <w:rsid w:val="007A76D4"/>
    <w:rsid w:val="007B06B4"/>
    <w:rsid w:val="007B52C9"/>
    <w:rsid w:val="007B628C"/>
    <w:rsid w:val="007B6CFF"/>
    <w:rsid w:val="007B7D1E"/>
    <w:rsid w:val="007C1F7B"/>
    <w:rsid w:val="007C57EE"/>
    <w:rsid w:val="007C67BE"/>
    <w:rsid w:val="007D0030"/>
    <w:rsid w:val="007D049B"/>
    <w:rsid w:val="007D1E7C"/>
    <w:rsid w:val="007D48B3"/>
    <w:rsid w:val="007E1737"/>
    <w:rsid w:val="007E2001"/>
    <w:rsid w:val="007E2E60"/>
    <w:rsid w:val="007E5787"/>
    <w:rsid w:val="007E76C5"/>
    <w:rsid w:val="007F410C"/>
    <w:rsid w:val="007F6357"/>
    <w:rsid w:val="007F6AEF"/>
    <w:rsid w:val="00804441"/>
    <w:rsid w:val="008224F9"/>
    <w:rsid w:val="008229DF"/>
    <w:rsid w:val="0082469A"/>
    <w:rsid w:val="00832CC6"/>
    <w:rsid w:val="008337DC"/>
    <w:rsid w:val="00833972"/>
    <w:rsid w:val="008347DC"/>
    <w:rsid w:val="008355EB"/>
    <w:rsid w:val="0084006D"/>
    <w:rsid w:val="008441E3"/>
    <w:rsid w:val="00847445"/>
    <w:rsid w:val="008519A4"/>
    <w:rsid w:val="00851B4B"/>
    <w:rsid w:val="00852DFB"/>
    <w:rsid w:val="00855E5C"/>
    <w:rsid w:val="00856535"/>
    <w:rsid w:val="0086750C"/>
    <w:rsid w:val="00872C57"/>
    <w:rsid w:val="00872EFA"/>
    <w:rsid w:val="00874688"/>
    <w:rsid w:val="0088606E"/>
    <w:rsid w:val="00890DC9"/>
    <w:rsid w:val="0089332A"/>
    <w:rsid w:val="0089593D"/>
    <w:rsid w:val="008A1608"/>
    <w:rsid w:val="008A2228"/>
    <w:rsid w:val="008A4981"/>
    <w:rsid w:val="008B1EB2"/>
    <w:rsid w:val="008B3059"/>
    <w:rsid w:val="008B3ADA"/>
    <w:rsid w:val="008B6C31"/>
    <w:rsid w:val="008C1A50"/>
    <w:rsid w:val="008C20F7"/>
    <w:rsid w:val="008C38CA"/>
    <w:rsid w:val="008C63A3"/>
    <w:rsid w:val="008C7592"/>
    <w:rsid w:val="008D05E6"/>
    <w:rsid w:val="008D32CB"/>
    <w:rsid w:val="008D53B0"/>
    <w:rsid w:val="008D5477"/>
    <w:rsid w:val="008E24F0"/>
    <w:rsid w:val="008E4257"/>
    <w:rsid w:val="008F200D"/>
    <w:rsid w:val="008F2107"/>
    <w:rsid w:val="008F3D03"/>
    <w:rsid w:val="008F408A"/>
    <w:rsid w:val="008F5ABC"/>
    <w:rsid w:val="008F5DCD"/>
    <w:rsid w:val="0090075B"/>
    <w:rsid w:val="00903937"/>
    <w:rsid w:val="0090416B"/>
    <w:rsid w:val="0090702E"/>
    <w:rsid w:val="00915410"/>
    <w:rsid w:val="00916636"/>
    <w:rsid w:val="00916EC6"/>
    <w:rsid w:val="0092069E"/>
    <w:rsid w:val="0092776A"/>
    <w:rsid w:val="00927FD0"/>
    <w:rsid w:val="00934D13"/>
    <w:rsid w:val="00946CFB"/>
    <w:rsid w:val="00950AB2"/>
    <w:rsid w:val="00954A0E"/>
    <w:rsid w:val="009577AC"/>
    <w:rsid w:val="00963A08"/>
    <w:rsid w:val="00974DF5"/>
    <w:rsid w:val="00987E11"/>
    <w:rsid w:val="0099001D"/>
    <w:rsid w:val="00993BA7"/>
    <w:rsid w:val="00996BE4"/>
    <w:rsid w:val="009B0B2E"/>
    <w:rsid w:val="009B1D6E"/>
    <w:rsid w:val="009C2949"/>
    <w:rsid w:val="009C6E94"/>
    <w:rsid w:val="009D3D93"/>
    <w:rsid w:val="009D5835"/>
    <w:rsid w:val="009D7A94"/>
    <w:rsid w:val="009E14B4"/>
    <w:rsid w:val="009E7A94"/>
    <w:rsid w:val="009F15D4"/>
    <w:rsid w:val="009F22E8"/>
    <w:rsid w:val="009F27C7"/>
    <w:rsid w:val="009F3387"/>
    <w:rsid w:val="009F37D2"/>
    <w:rsid w:val="009F73C1"/>
    <w:rsid w:val="00A0352F"/>
    <w:rsid w:val="00A07ED4"/>
    <w:rsid w:val="00A100F6"/>
    <w:rsid w:val="00A1114F"/>
    <w:rsid w:val="00A11561"/>
    <w:rsid w:val="00A11F81"/>
    <w:rsid w:val="00A16476"/>
    <w:rsid w:val="00A20E4D"/>
    <w:rsid w:val="00A27FF0"/>
    <w:rsid w:val="00A357B9"/>
    <w:rsid w:val="00A3699F"/>
    <w:rsid w:val="00A52A29"/>
    <w:rsid w:val="00A549A7"/>
    <w:rsid w:val="00A55A90"/>
    <w:rsid w:val="00A56614"/>
    <w:rsid w:val="00A578B3"/>
    <w:rsid w:val="00A608DF"/>
    <w:rsid w:val="00A6449E"/>
    <w:rsid w:val="00A701C4"/>
    <w:rsid w:val="00A757C7"/>
    <w:rsid w:val="00A771E2"/>
    <w:rsid w:val="00A77499"/>
    <w:rsid w:val="00A80E76"/>
    <w:rsid w:val="00A844CE"/>
    <w:rsid w:val="00A87207"/>
    <w:rsid w:val="00A90BA2"/>
    <w:rsid w:val="00AA0A63"/>
    <w:rsid w:val="00AA22E1"/>
    <w:rsid w:val="00AA453F"/>
    <w:rsid w:val="00AA7EBC"/>
    <w:rsid w:val="00AB0CA4"/>
    <w:rsid w:val="00AC4C36"/>
    <w:rsid w:val="00AC5F66"/>
    <w:rsid w:val="00AD7BB7"/>
    <w:rsid w:val="00AE2E39"/>
    <w:rsid w:val="00AE4023"/>
    <w:rsid w:val="00AF417F"/>
    <w:rsid w:val="00AF4450"/>
    <w:rsid w:val="00AF473B"/>
    <w:rsid w:val="00B01126"/>
    <w:rsid w:val="00B02F02"/>
    <w:rsid w:val="00B0551B"/>
    <w:rsid w:val="00B06231"/>
    <w:rsid w:val="00B06CD0"/>
    <w:rsid w:val="00B07B06"/>
    <w:rsid w:val="00B15CB6"/>
    <w:rsid w:val="00B205CC"/>
    <w:rsid w:val="00B2141F"/>
    <w:rsid w:val="00B21FBE"/>
    <w:rsid w:val="00B22200"/>
    <w:rsid w:val="00B22B6E"/>
    <w:rsid w:val="00B24328"/>
    <w:rsid w:val="00B30FF9"/>
    <w:rsid w:val="00B341D5"/>
    <w:rsid w:val="00B36975"/>
    <w:rsid w:val="00B46C38"/>
    <w:rsid w:val="00B505B4"/>
    <w:rsid w:val="00B51244"/>
    <w:rsid w:val="00B5157D"/>
    <w:rsid w:val="00B525EF"/>
    <w:rsid w:val="00B536E4"/>
    <w:rsid w:val="00B56519"/>
    <w:rsid w:val="00B62080"/>
    <w:rsid w:val="00B621C3"/>
    <w:rsid w:val="00B66949"/>
    <w:rsid w:val="00B70532"/>
    <w:rsid w:val="00B74669"/>
    <w:rsid w:val="00B75213"/>
    <w:rsid w:val="00B84746"/>
    <w:rsid w:val="00B86E43"/>
    <w:rsid w:val="00B9025E"/>
    <w:rsid w:val="00B91E8B"/>
    <w:rsid w:val="00B9281B"/>
    <w:rsid w:val="00B96DA6"/>
    <w:rsid w:val="00B97862"/>
    <w:rsid w:val="00B97EB9"/>
    <w:rsid w:val="00BA3AA7"/>
    <w:rsid w:val="00BA4816"/>
    <w:rsid w:val="00BA57FE"/>
    <w:rsid w:val="00BB256C"/>
    <w:rsid w:val="00BB7412"/>
    <w:rsid w:val="00BC103C"/>
    <w:rsid w:val="00BC7ABF"/>
    <w:rsid w:val="00BD1BDB"/>
    <w:rsid w:val="00BD3D1C"/>
    <w:rsid w:val="00BD6335"/>
    <w:rsid w:val="00BE2DF4"/>
    <w:rsid w:val="00BF2918"/>
    <w:rsid w:val="00BF42F7"/>
    <w:rsid w:val="00C02D4B"/>
    <w:rsid w:val="00C038BC"/>
    <w:rsid w:val="00C04919"/>
    <w:rsid w:val="00C107FC"/>
    <w:rsid w:val="00C14F65"/>
    <w:rsid w:val="00C25C25"/>
    <w:rsid w:val="00C26884"/>
    <w:rsid w:val="00C3011A"/>
    <w:rsid w:val="00C30A48"/>
    <w:rsid w:val="00C41AE4"/>
    <w:rsid w:val="00C4351D"/>
    <w:rsid w:val="00C4405D"/>
    <w:rsid w:val="00C44D52"/>
    <w:rsid w:val="00C45178"/>
    <w:rsid w:val="00C47476"/>
    <w:rsid w:val="00C518DE"/>
    <w:rsid w:val="00C52154"/>
    <w:rsid w:val="00C52664"/>
    <w:rsid w:val="00C5570D"/>
    <w:rsid w:val="00C60815"/>
    <w:rsid w:val="00C609E5"/>
    <w:rsid w:val="00C637AB"/>
    <w:rsid w:val="00C65D19"/>
    <w:rsid w:val="00C668D1"/>
    <w:rsid w:val="00C673CF"/>
    <w:rsid w:val="00C73F42"/>
    <w:rsid w:val="00C74DB3"/>
    <w:rsid w:val="00C74F23"/>
    <w:rsid w:val="00C7627C"/>
    <w:rsid w:val="00C830BD"/>
    <w:rsid w:val="00C853C4"/>
    <w:rsid w:val="00C85422"/>
    <w:rsid w:val="00C87082"/>
    <w:rsid w:val="00C871F6"/>
    <w:rsid w:val="00C87C22"/>
    <w:rsid w:val="00C95468"/>
    <w:rsid w:val="00CA0788"/>
    <w:rsid w:val="00CB3406"/>
    <w:rsid w:val="00CB6611"/>
    <w:rsid w:val="00CC237B"/>
    <w:rsid w:val="00CC4033"/>
    <w:rsid w:val="00CC5718"/>
    <w:rsid w:val="00CD13C4"/>
    <w:rsid w:val="00CD2E72"/>
    <w:rsid w:val="00CD40A5"/>
    <w:rsid w:val="00CD5713"/>
    <w:rsid w:val="00CD7FF7"/>
    <w:rsid w:val="00CE2A3E"/>
    <w:rsid w:val="00CE3C99"/>
    <w:rsid w:val="00CE7DB0"/>
    <w:rsid w:val="00CF180D"/>
    <w:rsid w:val="00CF5571"/>
    <w:rsid w:val="00CF7C87"/>
    <w:rsid w:val="00D00DAA"/>
    <w:rsid w:val="00D029AA"/>
    <w:rsid w:val="00D032A0"/>
    <w:rsid w:val="00D04074"/>
    <w:rsid w:val="00D057AA"/>
    <w:rsid w:val="00D058CE"/>
    <w:rsid w:val="00D106C0"/>
    <w:rsid w:val="00D145E7"/>
    <w:rsid w:val="00D17587"/>
    <w:rsid w:val="00D2079C"/>
    <w:rsid w:val="00D36588"/>
    <w:rsid w:val="00D36FE4"/>
    <w:rsid w:val="00D414AA"/>
    <w:rsid w:val="00D472A3"/>
    <w:rsid w:val="00D558E8"/>
    <w:rsid w:val="00D55D8E"/>
    <w:rsid w:val="00D57B86"/>
    <w:rsid w:val="00D63070"/>
    <w:rsid w:val="00D7000C"/>
    <w:rsid w:val="00D74739"/>
    <w:rsid w:val="00D754B3"/>
    <w:rsid w:val="00D7641A"/>
    <w:rsid w:val="00D77A90"/>
    <w:rsid w:val="00D84A1A"/>
    <w:rsid w:val="00D8707D"/>
    <w:rsid w:val="00D873FC"/>
    <w:rsid w:val="00D97959"/>
    <w:rsid w:val="00DA7763"/>
    <w:rsid w:val="00DC72F2"/>
    <w:rsid w:val="00DE182C"/>
    <w:rsid w:val="00DE5147"/>
    <w:rsid w:val="00DE54EC"/>
    <w:rsid w:val="00DF1E18"/>
    <w:rsid w:val="00DF7188"/>
    <w:rsid w:val="00E12598"/>
    <w:rsid w:val="00E20FD5"/>
    <w:rsid w:val="00E21C42"/>
    <w:rsid w:val="00E21E2A"/>
    <w:rsid w:val="00E24CAC"/>
    <w:rsid w:val="00E301A3"/>
    <w:rsid w:val="00E30CD3"/>
    <w:rsid w:val="00E30E40"/>
    <w:rsid w:val="00E35777"/>
    <w:rsid w:val="00E364C1"/>
    <w:rsid w:val="00E47611"/>
    <w:rsid w:val="00E51867"/>
    <w:rsid w:val="00E52187"/>
    <w:rsid w:val="00E56CB1"/>
    <w:rsid w:val="00E57CEB"/>
    <w:rsid w:val="00E60C93"/>
    <w:rsid w:val="00E71788"/>
    <w:rsid w:val="00E80964"/>
    <w:rsid w:val="00E829EC"/>
    <w:rsid w:val="00E86755"/>
    <w:rsid w:val="00E86C23"/>
    <w:rsid w:val="00E874EF"/>
    <w:rsid w:val="00E925B7"/>
    <w:rsid w:val="00E934DD"/>
    <w:rsid w:val="00E95B3F"/>
    <w:rsid w:val="00E97B5C"/>
    <w:rsid w:val="00EA111D"/>
    <w:rsid w:val="00EA3FD7"/>
    <w:rsid w:val="00EA7093"/>
    <w:rsid w:val="00EB02E3"/>
    <w:rsid w:val="00EB574F"/>
    <w:rsid w:val="00EC2A71"/>
    <w:rsid w:val="00EC541A"/>
    <w:rsid w:val="00EC6A1E"/>
    <w:rsid w:val="00EC6B0D"/>
    <w:rsid w:val="00EC6B78"/>
    <w:rsid w:val="00EC756E"/>
    <w:rsid w:val="00ED1576"/>
    <w:rsid w:val="00ED5050"/>
    <w:rsid w:val="00ED6F8B"/>
    <w:rsid w:val="00EF5FCC"/>
    <w:rsid w:val="00EF770F"/>
    <w:rsid w:val="00EF789C"/>
    <w:rsid w:val="00F064C2"/>
    <w:rsid w:val="00F10C1B"/>
    <w:rsid w:val="00F14A5E"/>
    <w:rsid w:val="00F1780C"/>
    <w:rsid w:val="00F20F8A"/>
    <w:rsid w:val="00F22942"/>
    <w:rsid w:val="00F35FD4"/>
    <w:rsid w:val="00F37BC8"/>
    <w:rsid w:val="00F4146D"/>
    <w:rsid w:val="00F46AC8"/>
    <w:rsid w:val="00F50289"/>
    <w:rsid w:val="00F522DD"/>
    <w:rsid w:val="00F53272"/>
    <w:rsid w:val="00F62C3D"/>
    <w:rsid w:val="00F6480A"/>
    <w:rsid w:val="00F66095"/>
    <w:rsid w:val="00F667A0"/>
    <w:rsid w:val="00F7126C"/>
    <w:rsid w:val="00F75798"/>
    <w:rsid w:val="00F80F7D"/>
    <w:rsid w:val="00F82EA3"/>
    <w:rsid w:val="00F83E9D"/>
    <w:rsid w:val="00F85D11"/>
    <w:rsid w:val="00F91268"/>
    <w:rsid w:val="00F93806"/>
    <w:rsid w:val="00FA15F4"/>
    <w:rsid w:val="00FA27C4"/>
    <w:rsid w:val="00FA2DE7"/>
    <w:rsid w:val="00FA30EE"/>
    <w:rsid w:val="00FA4453"/>
    <w:rsid w:val="00FA4683"/>
    <w:rsid w:val="00FA4CDB"/>
    <w:rsid w:val="00FA6D63"/>
    <w:rsid w:val="00FA72D0"/>
    <w:rsid w:val="00FB40A5"/>
    <w:rsid w:val="00FB474E"/>
    <w:rsid w:val="00FC3CB3"/>
    <w:rsid w:val="00FC7DB9"/>
    <w:rsid w:val="00FD45CA"/>
    <w:rsid w:val="00FE1E07"/>
    <w:rsid w:val="00FE1FDA"/>
    <w:rsid w:val="00FE2167"/>
    <w:rsid w:val="00FE5029"/>
    <w:rsid w:val="00FF036F"/>
    <w:rsid w:val="00FF1D9F"/>
    <w:rsid w:val="00FF2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12E0"/>
  <w15:docId w15:val="{5B041C47-F0A7-BB4E-B8B6-F28D86A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942"/>
    <w:pPr>
      <w:spacing w:after="0" w:line="240" w:lineRule="auto"/>
      <w:jc w:val="both"/>
    </w:pPr>
    <w:rPr>
      <w:rFonts w:ascii="Arial" w:hAnsi="Arial"/>
      <w:sz w:val="24"/>
    </w:rPr>
  </w:style>
  <w:style w:type="paragraph" w:styleId="Titre1">
    <w:name w:val="heading 1"/>
    <w:basedOn w:val="Paragraphedeliste"/>
    <w:next w:val="Normal"/>
    <w:link w:val="Titre1Car"/>
    <w:uiPriority w:val="9"/>
    <w:qFormat/>
    <w:rsid w:val="008F408A"/>
    <w:pPr>
      <w:numPr>
        <w:numId w:val="19"/>
      </w:numPr>
      <w:outlineLvl w:val="0"/>
    </w:pPr>
    <w:rPr>
      <w:b/>
      <w:color w:val="E81C23" w:themeColor="accent1"/>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B5C"/>
    <w:pPr>
      <w:ind w:left="720"/>
      <w:contextualSpacing/>
    </w:pPr>
  </w:style>
  <w:style w:type="character" w:styleId="Lienhypertexte">
    <w:name w:val="Hyperlink"/>
    <w:basedOn w:val="Policepardfaut"/>
    <w:uiPriority w:val="99"/>
    <w:unhideWhenUsed/>
    <w:rsid w:val="00852DFB"/>
    <w:rPr>
      <w:color w:val="0000FF"/>
      <w:u w:val="single"/>
    </w:rPr>
  </w:style>
  <w:style w:type="character" w:customStyle="1" w:styleId="apple-converted-space">
    <w:name w:val="apple-converted-space"/>
    <w:basedOn w:val="Policepardfaut"/>
    <w:rsid w:val="005530EA"/>
  </w:style>
  <w:style w:type="character" w:styleId="lev">
    <w:name w:val="Strong"/>
    <w:basedOn w:val="Policepardfaut"/>
    <w:uiPriority w:val="22"/>
    <w:qFormat/>
    <w:rsid w:val="005530EA"/>
    <w:rPr>
      <w:b/>
      <w:bCs/>
    </w:rPr>
  </w:style>
  <w:style w:type="paragraph" w:styleId="Textedebulles">
    <w:name w:val="Balloon Text"/>
    <w:basedOn w:val="Normal"/>
    <w:link w:val="TextedebullesCar"/>
    <w:uiPriority w:val="99"/>
    <w:semiHidden/>
    <w:unhideWhenUsed/>
    <w:rsid w:val="00712A25"/>
    <w:rPr>
      <w:rFonts w:ascii="Tahoma" w:hAnsi="Tahoma" w:cs="Tahoma"/>
      <w:sz w:val="16"/>
      <w:szCs w:val="16"/>
    </w:rPr>
  </w:style>
  <w:style w:type="character" w:customStyle="1" w:styleId="TextedebullesCar">
    <w:name w:val="Texte de bulles Car"/>
    <w:basedOn w:val="Policepardfaut"/>
    <w:link w:val="Textedebulles"/>
    <w:uiPriority w:val="99"/>
    <w:semiHidden/>
    <w:rsid w:val="00712A25"/>
    <w:rPr>
      <w:rFonts w:ascii="Tahoma" w:hAnsi="Tahoma" w:cs="Tahoma"/>
      <w:sz w:val="16"/>
      <w:szCs w:val="16"/>
    </w:rPr>
  </w:style>
  <w:style w:type="character" w:styleId="Marquedecommentaire">
    <w:name w:val="annotation reference"/>
    <w:basedOn w:val="Policepardfaut"/>
    <w:uiPriority w:val="99"/>
    <w:semiHidden/>
    <w:unhideWhenUsed/>
    <w:rsid w:val="00712A25"/>
    <w:rPr>
      <w:sz w:val="16"/>
      <w:szCs w:val="16"/>
    </w:rPr>
  </w:style>
  <w:style w:type="paragraph" w:styleId="Commentaire">
    <w:name w:val="annotation text"/>
    <w:basedOn w:val="Normal"/>
    <w:link w:val="CommentaireCar"/>
    <w:uiPriority w:val="99"/>
    <w:semiHidden/>
    <w:unhideWhenUsed/>
    <w:rsid w:val="00712A25"/>
    <w:rPr>
      <w:sz w:val="20"/>
      <w:szCs w:val="20"/>
    </w:rPr>
  </w:style>
  <w:style w:type="character" w:customStyle="1" w:styleId="CommentaireCar">
    <w:name w:val="Commentaire Car"/>
    <w:basedOn w:val="Policepardfaut"/>
    <w:link w:val="Commentaire"/>
    <w:uiPriority w:val="99"/>
    <w:semiHidden/>
    <w:rsid w:val="00712A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12A25"/>
    <w:rPr>
      <w:b/>
      <w:bCs/>
    </w:rPr>
  </w:style>
  <w:style w:type="character" w:customStyle="1" w:styleId="ObjetducommentaireCar">
    <w:name w:val="Objet du commentaire Car"/>
    <w:basedOn w:val="CommentaireCar"/>
    <w:link w:val="Objetducommentaire"/>
    <w:uiPriority w:val="99"/>
    <w:semiHidden/>
    <w:rsid w:val="00712A25"/>
    <w:rPr>
      <w:rFonts w:ascii="Arial" w:hAnsi="Arial"/>
      <w:b/>
      <w:bCs/>
      <w:sz w:val="20"/>
      <w:szCs w:val="20"/>
    </w:rPr>
  </w:style>
  <w:style w:type="paragraph" w:styleId="En-tte">
    <w:name w:val="header"/>
    <w:basedOn w:val="Normal"/>
    <w:link w:val="En-tteCar"/>
    <w:uiPriority w:val="99"/>
    <w:unhideWhenUsed/>
    <w:rsid w:val="007A29E8"/>
    <w:pPr>
      <w:tabs>
        <w:tab w:val="center" w:pos="4536"/>
        <w:tab w:val="right" w:pos="9072"/>
      </w:tabs>
    </w:pPr>
  </w:style>
  <w:style w:type="character" w:customStyle="1" w:styleId="En-tteCar">
    <w:name w:val="En-tête Car"/>
    <w:basedOn w:val="Policepardfaut"/>
    <w:link w:val="En-tte"/>
    <w:uiPriority w:val="99"/>
    <w:rsid w:val="007A29E8"/>
    <w:rPr>
      <w:rFonts w:ascii="Arial" w:hAnsi="Arial"/>
      <w:sz w:val="24"/>
    </w:rPr>
  </w:style>
  <w:style w:type="paragraph" w:styleId="Pieddepage">
    <w:name w:val="footer"/>
    <w:basedOn w:val="Normal"/>
    <w:link w:val="PieddepageCar"/>
    <w:uiPriority w:val="99"/>
    <w:unhideWhenUsed/>
    <w:rsid w:val="007A29E8"/>
    <w:pPr>
      <w:tabs>
        <w:tab w:val="center" w:pos="4536"/>
        <w:tab w:val="right" w:pos="9072"/>
      </w:tabs>
    </w:pPr>
  </w:style>
  <w:style w:type="character" w:customStyle="1" w:styleId="PieddepageCar">
    <w:name w:val="Pied de page Car"/>
    <w:basedOn w:val="Policepardfaut"/>
    <w:link w:val="Pieddepage"/>
    <w:uiPriority w:val="99"/>
    <w:rsid w:val="007A29E8"/>
    <w:rPr>
      <w:rFonts w:ascii="Arial" w:hAnsi="Arial"/>
      <w:sz w:val="24"/>
    </w:rPr>
  </w:style>
  <w:style w:type="table" w:styleId="Grilledutableau">
    <w:name w:val="Table Grid"/>
    <w:basedOn w:val="TableauNormal"/>
    <w:uiPriority w:val="39"/>
    <w:rsid w:val="00B3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7627C"/>
    <w:pPr>
      <w:spacing w:after="0" w:line="240" w:lineRule="auto"/>
      <w:jc w:val="both"/>
    </w:pPr>
    <w:rPr>
      <w:rFonts w:ascii="Arial" w:hAnsi="Arial"/>
      <w:sz w:val="24"/>
    </w:rPr>
  </w:style>
  <w:style w:type="character" w:customStyle="1" w:styleId="Titre1Car">
    <w:name w:val="Titre 1 Car"/>
    <w:basedOn w:val="Policepardfaut"/>
    <w:link w:val="Titre1"/>
    <w:uiPriority w:val="9"/>
    <w:rsid w:val="008F408A"/>
    <w:rPr>
      <w:rFonts w:ascii="Arial" w:hAnsi="Arial"/>
      <w:b/>
      <w:color w:val="E81C23" w:themeColor="accent1"/>
      <w:spacing w:val="-6"/>
      <w:sz w:val="24"/>
    </w:rPr>
  </w:style>
  <w:style w:type="character" w:styleId="Lienhypertextesuivivisit">
    <w:name w:val="FollowedHyperlink"/>
    <w:basedOn w:val="Policepardfaut"/>
    <w:uiPriority w:val="99"/>
    <w:semiHidden/>
    <w:unhideWhenUsed/>
    <w:rsid w:val="00915410"/>
    <w:rPr>
      <w:color w:val="0000FF" w:themeColor="followedHyperlink"/>
      <w:u w:val="single"/>
    </w:rPr>
  </w:style>
  <w:style w:type="paragraph" w:styleId="Rvision">
    <w:name w:val="Revision"/>
    <w:hidden/>
    <w:uiPriority w:val="99"/>
    <w:semiHidden/>
    <w:rsid w:val="00C107F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5308">
      <w:bodyDiv w:val="1"/>
      <w:marLeft w:val="0"/>
      <w:marRight w:val="0"/>
      <w:marTop w:val="0"/>
      <w:marBottom w:val="0"/>
      <w:divBdr>
        <w:top w:val="none" w:sz="0" w:space="0" w:color="auto"/>
        <w:left w:val="none" w:sz="0" w:space="0" w:color="auto"/>
        <w:bottom w:val="none" w:sz="0" w:space="0" w:color="auto"/>
        <w:right w:val="none" w:sz="0" w:space="0" w:color="auto"/>
      </w:divBdr>
    </w:div>
    <w:div w:id="105200803">
      <w:bodyDiv w:val="1"/>
      <w:marLeft w:val="0"/>
      <w:marRight w:val="0"/>
      <w:marTop w:val="0"/>
      <w:marBottom w:val="0"/>
      <w:divBdr>
        <w:top w:val="none" w:sz="0" w:space="0" w:color="auto"/>
        <w:left w:val="none" w:sz="0" w:space="0" w:color="auto"/>
        <w:bottom w:val="none" w:sz="0" w:space="0" w:color="auto"/>
        <w:right w:val="none" w:sz="0" w:space="0" w:color="auto"/>
      </w:divBdr>
    </w:div>
    <w:div w:id="13253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yperlink" Target="mailto:pcrevel@cercledelepargn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yperlink" Target="mailto:slegouez@cercledelepargne.fr"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LE%20CERCLE%20DE%20L'EPARGNE\SONDAGE\SONDAGE%202019\CP\dossier%20retraite%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LE%20CERCLE%20DE%20L'EPARGNE\SONDAGE\SONDAGE%202019\CP\dossier%20retraite%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LE%20CERCLE%20DE%20L'EPARGNE\SONDAGE\SONDAGE%202019\CP\dossier%20retraite%202019.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LE%20CERCLE%20DE%20L'EPARGNE\SONDAGE\SONDAGE%202019\CP\dossier%20retraite%202019.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D:\LE%20CERCLE%20DE%20L'EPARGNE\SONDAGE\SONDAGE%202019\CP\dossier%20retrait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LE%20CERCLE%20DE%20L'EPARGNE\SONDAGE\SONDAGE%202019\CP\dossier%20retrait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LE%20CERCLE%20DE%20L'EPARGNE\SONDAGE\SONDAGE%202019\CP\dossier%20retraite%202019.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LE%20CERCLE%20DE%20L'EPARGNE\SONDAGE\SONDAGE%202019\CP\dossier%20retraite%202019.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D:\LE%20CERCLE%20DE%20L'EPARGNE\SONDAGE\SONDAGE%202019\CP\Dossier%20&#233;pargne%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r>
              <a:rPr lang="fr-FR" b="1" spc="-40" baseline="0"/>
              <a:t>Comme système de retraite, qu'est-ce qui vous paraît préférable ?</a:t>
            </a:r>
          </a:p>
        </c:rich>
      </c:tx>
      <c:overlay val="0"/>
      <c:spPr>
        <a:noFill/>
        <a:ln>
          <a:noFill/>
        </a:ln>
        <a:effectLst/>
      </c:spPr>
    </c:title>
    <c:autoTitleDeleted val="0"/>
    <c:plotArea>
      <c:layout>
        <c:manualLayout>
          <c:layoutTarget val="inner"/>
          <c:xMode val="edge"/>
          <c:yMode val="edge"/>
          <c:x val="0.21755601663353272"/>
          <c:y val="0.17362735046188504"/>
          <c:w val="0.25548238113014266"/>
          <c:h val="0.74317677897703449"/>
        </c:manualLayout>
      </c:layout>
      <c:pieChart>
        <c:varyColors val="1"/>
        <c:ser>
          <c:idx val="0"/>
          <c:order val="0"/>
          <c:tx>
            <c:strRef>
              <c:f>'le régime universel'!$E$14</c:f>
              <c:strCache>
                <c:ptCount val="1"/>
                <c:pt idx="0">
                  <c:v>Ensemble des Français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15-49DB-BF15-E35AC950A3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15-49DB-BF15-E35AC950A3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15-49DB-BF15-E35AC950A3B4}"/>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 régime universel'!$D$15:$D$17</c:f>
              <c:strCache>
                <c:ptCount val="3"/>
                <c:pt idx="0">
                  <c:v>La mise en place d'un régime universel de retraite </c:v>
                </c:pt>
                <c:pt idx="1">
                  <c:v>La mise en place d'un régime universel de retarite mais avec le maintien de certaines spécificités</c:v>
                </c:pt>
                <c:pt idx="2">
                  <c:v>Le maintien du système actuel de retraite</c:v>
                </c:pt>
              </c:strCache>
            </c:strRef>
          </c:cat>
          <c:val>
            <c:numRef>
              <c:f>'le régime universel'!$E$15:$E$17</c:f>
              <c:numCache>
                <c:formatCode>0%</c:formatCode>
                <c:ptCount val="3"/>
                <c:pt idx="0">
                  <c:v>0.34</c:v>
                </c:pt>
                <c:pt idx="1">
                  <c:v>0.48</c:v>
                </c:pt>
                <c:pt idx="2">
                  <c:v>0.18</c:v>
                </c:pt>
              </c:numCache>
            </c:numRef>
          </c:val>
          <c:extLst>
            <c:ext xmlns:c16="http://schemas.microsoft.com/office/drawing/2014/chart" uri="{C3380CC4-5D6E-409C-BE32-E72D297353CC}">
              <c16:uniqueId val="{00000006-A815-49DB-BF15-E35AC950A3B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778355572146646"/>
          <c:y val="0.23123296810310734"/>
          <c:w val="0.38355051263575513"/>
          <c:h val="0.7360458828878027"/>
        </c:manualLayout>
      </c:layout>
      <c:overlay val="0"/>
      <c:spPr>
        <a:noFill/>
        <a:ln>
          <a:noFill/>
        </a:ln>
        <a:effectLst/>
      </c:spPr>
      <c:txPr>
        <a:bodyPr rot="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bg2">
          <a:lumMod val="85000"/>
        </a:schemeClr>
      </a:solidFill>
      <a:round/>
    </a:ln>
    <a:effectLst/>
  </c:spPr>
  <c:txPr>
    <a:bodyPr/>
    <a:lstStyle/>
    <a:p>
      <a:pPr>
        <a:defRPr sz="1000">
          <a:solidFill>
            <a:sysClr val="windowText" lastClr="000000"/>
          </a:solidFill>
        </a:defRPr>
      </a:pPr>
      <a:endParaRPr lang="fr-FR"/>
    </a:p>
  </c:tx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fr-FR"/>
              <a:t>Comment souhaitez-vous que la dépendance soit financée?</a:t>
            </a:r>
          </a:p>
        </c:rich>
      </c:tx>
      <c:overlay val="0"/>
      <c:spPr>
        <a:noFill/>
        <a:ln>
          <a:noFill/>
        </a:ln>
        <a:effectLst/>
      </c:spPr>
    </c:title>
    <c:autoTitleDeleted val="0"/>
    <c:plotArea>
      <c:layout>
        <c:manualLayout>
          <c:layoutTarget val="inner"/>
          <c:xMode val="edge"/>
          <c:yMode val="edge"/>
          <c:x val="2.4255788313120176E-2"/>
          <c:y val="0.17289331672893316"/>
          <c:w val="0.97574421168687986"/>
          <c:h val="0.37878820564614968"/>
        </c:manualLayout>
      </c:layout>
      <c:barChart>
        <c:barDir val="col"/>
        <c:grouping val="percentStacked"/>
        <c:varyColors val="0"/>
        <c:ser>
          <c:idx val="0"/>
          <c:order val="0"/>
          <c:tx>
            <c:strRef>
              <c:f>'dépenadnce financement'!$C$20</c:f>
              <c:strCache>
                <c:ptCount val="1"/>
                <c:pt idx="0">
                  <c:v>Par les impôts ou les cotisations sociales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'dépenadnce financement'!$D$19:$I$19</c:f>
              <c:strCache>
                <c:ptCount val="6"/>
                <c:pt idx="0">
                  <c:v>Ensemble des Français</c:v>
                </c:pt>
                <c:pt idx="1">
                  <c:v>18/24 ans</c:v>
                </c:pt>
                <c:pt idx="2">
                  <c:v>25/34 ans</c:v>
                </c:pt>
                <c:pt idx="3">
                  <c:v>35/49 ans</c:v>
                </c:pt>
                <c:pt idx="4">
                  <c:v>50/64 ans</c:v>
                </c:pt>
                <c:pt idx="5">
                  <c:v>Plus de 64 ans</c:v>
                </c:pt>
              </c:strCache>
            </c:strRef>
          </c:cat>
          <c:val>
            <c:numRef>
              <c:f>'dépenadnce financement'!$D$20:$I$20</c:f>
              <c:numCache>
                <c:formatCode>0%</c:formatCode>
                <c:ptCount val="6"/>
                <c:pt idx="0">
                  <c:v>0.39</c:v>
                </c:pt>
                <c:pt idx="1">
                  <c:v>0.39</c:v>
                </c:pt>
                <c:pt idx="2">
                  <c:v>0.33</c:v>
                </c:pt>
                <c:pt idx="3">
                  <c:v>0.42</c:v>
                </c:pt>
                <c:pt idx="4">
                  <c:v>0.45</c:v>
                </c:pt>
                <c:pt idx="5">
                  <c:v>0.36</c:v>
                </c:pt>
              </c:numCache>
            </c:numRef>
          </c:val>
          <c:extLst>
            <c:ext xmlns:c16="http://schemas.microsoft.com/office/drawing/2014/chart" uri="{C3380CC4-5D6E-409C-BE32-E72D297353CC}">
              <c16:uniqueId val="{00000000-D1CD-489C-91BB-05D8A45DB7D9}"/>
            </c:ext>
          </c:extLst>
        </c:ser>
        <c:ser>
          <c:idx val="1"/>
          <c:order val="1"/>
          <c:tx>
            <c:strRef>
              <c:f>'dépenadnce financement'!$C$21</c:f>
              <c:strCache>
                <c:ptCount val="1"/>
                <c:pt idx="0">
                  <c:v>Par un système d'assurance obligatoire à mettre en œuvre au moment du départ à la retraite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'dépenadnce financement'!$D$19:$I$19</c:f>
              <c:strCache>
                <c:ptCount val="6"/>
                <c:pt idx="0">
                  <c:v>Ensemble des Français</c:v>
                </c:pt>
                <c:pt idx="1">
                  <c:v>18/24 ans</c:v>
                </c:pt>
                <c:pt idx="2">
                  <c:v>25/34 ans</c:v>
                </c:pt>
                <c:pt idx="3">
                  <c:v>35/49 ans</c:v>
                </c:pt>
                <c:pt idx="4">
                  <c:v>50/64 ans</c:v>
                </c:pt>
                <c:pt idx="5">
                  <c:v>Plus de 64 ans</c:v>
                </c:pt>
              </c:strCache>
            </c:strRef>
          </c:cat>
          <c:val>
            <c:numRef>
              <c:f>'dépenadnce financement'!$D$21:$I$21</c:f>
              <c:numCache>
                <c:formatCode>0%</c:formatCode>
                <c:ptCount val="6"/>
                <c:pt idx="0">
                  <c:v>0.37</c:v>
                </c:pt>
                <c:pt idx="1">
                  <c:v>0.34</c:v>
                </c:pt>
                <c:pt idx="2">
                  <c:v>0.32</c:v>
                </c:pt>
                <c:pt idx="3">
                  <c:v>0.38</c:v>
                </c:pt>
                <c:pt idx="4">
                  <c:v>0.33</c:v>
                </c:pt>
                <c:pt idx="5">
                  <c:v>0.44</c:v>
                </c:pt>
              </c:numCache>
            </c:numRef>
          </c:val>
          <c:extLst>
            <c:ext xmlns:c16="http://schemas.microsoft.com/office/drawing/2014/chart" uri="{C3380CC4-5D6E-409C-BE32-E72D297353CC}">
              <c16:uniqueId val="{00000001-D1CD-489C-91BB-05D8A45DB7D9}"/>
            </c:ext>
          </c:extLst>
        </c:ser>
        <c:ser>
          <c:idx val="2"/>
          <c:order val="2"/>
          <c:tx>
            <c:strRef>
              <c:f>'dépenadnce financement'!$C$22</c:f>
              <c:strCache>
                <c:ptCount val="1"/>
                <c:pt idx="0">
                  <c:v>Par la récupération autant que possible sur la succession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'dépenadnce financement'!$D$19:$I$19</c:f>
              <c:strCache>
                <c:ptCount val="6"/>
                <c:pt idx="0">
                  <c:v>Ensemble des Français</c:v>
                </c:pt>
                <c:pt idx="1">
                  <c:v>18/24 ans</c:v>
                </c:pt>
                <c:pt idx="2">
                  <c:v>25/34 ans</c:v>
                </c:pt>
                <c:pt idx="3">
                  <c:v>35/49 ans</c:v>
                </c:pt>
                <c:pt idx="4">
                  <c:v>50/64 ans</c:v>
                </c:pt>
                <c:pt idx="5">
                  <c:v>Plus de 64 ans</c:v>
                </c:pt>
              </c:strCache>
            </c:strRef>
          </c:cat>
          <c:val>
            <c:numRef>
              <c:f>'dépenadnce financement'!$D$22:$I$22</c:f>
              <c:numCache>
                <c:formatCode>0%</c:formatCode>
                <c:ptCount val="6"/>
                <c:pt idx="0">
                  <c:v>0.14000000000000001</c:v>
                </c:pt>
                <c:pt idx="1">
                  <c:v>0.06</c:v>
                </c:pt>
                <c:pt idx="2">
                  <c:v>0.18</c:v>
                </c:pt>
                <c:pt idx="3">
                  <c:v>0.1</c:v>
                </c:pt>
                <c:pt idx="4">
                  <c:v>0.18</c:v>
                </c:pt>
                <c:pt idx="5">
                  <c:v>0.14000000000000001</c:v>
                </c:pt>
              </c:numCache>
            </c:numRef>
          </c:val>
          <c:extLst>
            <c:ext xmlns:c16="http://schemas.microsoft.com/office/drawing/2014/chart" uri="{C3380CC4-5D6E-409C-BE32-E72D297353CC}">
              <c16:uniqueId val="{00000002-D1CD-489C-91BB-05D8A45DB7D9}"/>
            </c:ext>
          </c:extLst>
        </c:ser>
        <c:ser>
          <c:idx val="3"/>
          <c:order val="3"/>
          <c:tx>
            <c:strRef>
              <c:f>'dépenadnce financement'!$C$23</c:f>
              <c:strCache>
                <c:ptCount val="1"/>
                <c:pt idx="0">
                  <c:v>Par la participation obligatoire des enfants de la personne dépendante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6.3947078280044076E-2"/>
                  <c:y val="-5.82064671747627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CD-489C-91BB-05D8A45DB7D9}"/>
                </c:ext>
              </c:extLst>
            </c:dLbl>
            <c:dLbl>
              <c:idx val="1"/>
              <c:layout>
                <c:manualLayout>
                  <c:x val="6.6152149944873215E-2"/>
                  <c:y val="-7.5870909079428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CD-489C-91BB-05D8A45DB7D9}"/>
                </c:ext>
              </c:extLst>
            </c:dLbl>
            <c:dLbl>
              <c:idx val="2"/>
              <c:layout>
                <c:manualLayout>
                  <c:x val="7.0562293274531424E-2"/>
                  <c:y val="-6.39796929954725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CD-489C-91BB-05D8A45DB7D9}"/>
                </c:ext>
              </c:extLst>
            </c:dLbl>
            <c:dLbl>
              <c:idx val="3"/>
              <c:layout>
                <c:manualLayout>
                  <c:x val="4.8511576626240269E-2"/>
                  <c:y val="-5.419684407933371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CD-489C-91BB-05D8A45DB7D9}"/>
                </c:ext>
              </c:extLst>
            </c:dLbl>
            <c:dLbl>
              <c:idx val="4"/>
              <c:layout>
                <c:manualLayout>
                  <c:x val="6.1742006615214992E-2"/>
                  <c:y val="-4.237445459654351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CD-489C-91BB-05D8A45DB7D9}"/>
                </c:ext>
              </c:extLst>
            </c:dLbl>
            <c:dLbl>
              <c:idx val="5"/>
              <c:layout>
                <c:manualLayout>
                  <c:x val="3.9691289966923761E-2"/>
                  <c:y val="-5.03248741862359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CD-489C-91BB-05D8A45DB7D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'dépenadnce financement'!$D$19:$I$19</c:f>
              <c:strCache>
                <c:ptCount val="6"/>
                <c:pt idx="0">
                  <c:v>Ensemble des Français</c:v>
                </c:pt>
                <c:pt idx="1">
                  <c:v>18/24 ans</c:v>
                </c:pt>
                <c:pt idx="2">
                  <c:v>25/34 ans</c:v>
                </c:pt>
                <c:pt idx="3">
                  <c:v>35/49 ans</c:v>
                </c:pt>
                <c:pt idx="4">
                  <c:v>50/64 ans</c:v>
                </c:pt>
                <c:pt idx="5">
                  <c:v>Plus de 64 ans</c:v>
                </c:pt>
              </c:strCache>
            </c:strRef>
          </c:cat>
          <c:val>
            <c:numRef>
              <c:f>'dépenadnce financement'!$D$23:$I$23</c:f>
              <c:numCache>
                <c:formatCode>0%</c:formatCode>
                <c:ptCount val="6"/>
                <c:pt idx="0">
                  <c:v>0.1</c:v>
                </c:pt>
                <c:pt idx="1">
                  <c:v>0.21</c:v>
                </c:pt>
                <c:pt idx="2">
                  <c:v>0.17</c:v>
                </c:pt>
                <c:pt idx="3">
                  <c:v>0.1</c:v>
                </c:pt>
                <c:pt idx="4">
                  <c:v>0.04</c:v>
                </c:pt>
                <c:pt idx="5">
                  <c:v>0.06</c:v>
                </c:pt>
              </c:numCache>
            </c:numRef>
          </c:val>
          <c:extLst>
            <c:ext xmlns:c16="http://schemas.microsoft.com/office/drawing/2014/chart" uri="{C3380CC4-5D6E-409C-BE32-E72D297353CC}">
              <c16:uniqueId val="{00000009-D1CD-489C-91BB-05D8A45DB7D9}"/>
            </c:ext>
          </c:extLst>
        </c:ser>
        <c:dLbls>
          <c:showLegendKey val="0"/>
          <c:showVal val="1"/>
          <c:showCatName val="0"/>
          <c:showSerName val="0"/>
          <c:showPercent val="0"/>
          <c:showBubbleSize val="0"/>
        </c:dLbls>
        <c:gapWidth val="95"/>
        <c:overlap val="100"/>
        <c:axId val="272378880"/>
        <c:axId val="272392960"/>
      </c:barChart>
      <c:catAx>
        <c:axId val="272378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fr-FR"/>
          </a:p>
        </c:txPr>
        <c:crossAx val="272392960"/>
        <c:crosses val="autoZero"/>
        <c:auto val="1"/>
        <c:lblAlgn val="ctr"/>
        <c:lblOffset val="100"/>
        <c:noMultiLvlLbl val="0"/>
      </c:catAx>
      <c:valAx>
        <c:axId val="272392960"/>
        <c:scaling>
          <c:orientation val="minMax"/>
        </c:scaling>
        <c:delete val="1"/>
        <c:axPos val="l"/>
        <c:numFmt formatCode="0%" sourceLinked="1"/>
        <c:majorTickMark val="none"/>
        <c:minorTickMark val="none"/>
        <c:tickLblPos val="nextTo"/>
        <c:crossAx val="272378880"/>
        <c:crosses val="autoZero"/>
        <c:crossBetween val="between"/>
      </c:valAx>
      <c:spPr>
        <a:noFill/>
        <a:ln>
          <a:noFill/>
        </a:ln>
        <a:effectLst/>
      </c:spPr>
    </c:plotArea>
    <c:legend>
      <c:legendPos val="b"/>
      <c:layout>
        <c:manualLayout>
          <c:xMode val="edge"/>
          <c:yMode val="edge"/>
          <c:x val="8.8463308128380255E-3"/>
          <c:y val="0.6911290309816801"/>
          <c:w val="0.99112762503364038"/>
          <c:h val="0.2847503660032445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fr-FR" b="1"/>
              <a:t>Quel est l'objectif du Président de la République et du Gouvernement</a:t>
            </a:r>
          </a:p>
          <a:p>
            <a:pPr>
              <a:defRPr b="1"/>
            </a:pPr>
            <a:r>
              <a:rPr lang="fr-FR" b="1"/>
              <a:t> en voulant faire une réforme du système de retraite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0.22232550792262079"/>
          <c:y val="0.24652277840269962"/>
          <c:w val="0.26529097057312279"/>
          <c:h val="0.6933793388186027"/>
        </c:manualLayout>
      </c:layout>
      <c:pieChart>
        <c:varyColors val="1"/>
        <c:ser>
          <c:idx val="0"/>
          <c:order val="0"/>
          <c:tx>
            <c:strRef>
              <c:f>'objectif du gvt'!$D$11</c:f>
              <c:strCache>
                <c:ptCount val="1"/>
                <c:pt idx="0">
                  <c:v>quel est l'objectif du Président de la République et du Gouvernement en voulant faire une réforme du système de retraite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78-491F-BD4C-2C9120B0C4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78-491F-BD4C-2C9120B0C4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78-491F-BD4C-2C9120B0C4D0}"/>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'objectif du gvt'!$C$12:$C$14</c:f>
              <c:strCache>
                <c:ptCount val="3"/>
                <c:pt idx="0">
                  <c:v>La volonté de retarder l'âge effectif de départ à la retraite</c:v>
                </c:pt>
                <c:pt idx="1">
                  <c:v>Les mêmes droits pour tous les Français dans le nouveau système de retraite</c:v>
                </c:pt>
                <c:pt idx="2">
                  <c:v>La réduction des pensions de retraite</c:v>
                </c:pt>
              </c:strCache>
            </c:strRef>
          </c:cat>
          <c:val>
            <c:numRef>
              <c:f>'objectif du gvt'!$D$12:$D$14</c:f>
              <c:numCache>
                <c:formatCode>0%</c:formatCode>
                <c:ptCount val="3"/>
                <c:pt idx="0">
                  <c:v>0.37</c:v>
                </c:pt>
                <c:pt idx="1">
                  <c:v>0.34</c:v>
                </c:pt>
                <c:pt idx="2">
                  <c:v>0.28999999999999998</c:v>
                </c:pt>
              </c:numCache>
            </c:numRef>
          </c:val>
          <c:extLst>
            <c:ext xmlns:c16="http://schemas.microsoft.com/office/drawing/2014/chart" uri="{C3380CC4-5D6E-409C-BE32-E72D297353CC}">
              <c16:uniqueId val="{00000006-EF78-491F-BD4C-2C9120B0C4D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950617283950613"/>
          <c:y val="0.29703130858642668"/>
          <c:w val="0.39726631393298062"/>
          <c:h val="0.5505802399700037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r>
              <a:rPr lang="fr-FR"/>
              <a:t>Qui doit gérer le futur régime universel de retraite ?</a:t>
            </a:r>
          </a:p>
        </c:rich>
      </c:tx>
      <c:overlay val="0"/>
      <c:spPr>
        <a:noFill/>
        <a:ln>
          <a:noFill/>
        </a:ln>
        <a:effectLst/>
      </c:spPr>
      <c:txPr>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tx>
            <c:strRef>
              <c:f>'qui doit gérer le régime des re'!$E$20</c:f>
              <c:strCache>
                <c:ptCount val="1"/>
                <c:pt idx="0">
                  <c:v>L'État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spc="-40" baseline="0">
                    <a:solidFill>
                      <a:schemeClr val="bg2"/>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 doit gérer le régime des re'!$F$19:$K$19</c:f>
              <c:strCache>
                <c:ptCount val="6"/>
                <c:pt idx="0">
                  <c:v>Ensemble des Français</c:v>
                </c:pt>
                <c:pt idx="1">
                  <c:v>Indépendant</c:v>
                </c:pt>
                <c:pt idx="2">
                  <c:v>Salarié du privé</c:v>
                </c:pt>
                <c:pt idx="3">
                  <c:v>Salarié d'une entreprise publique</c:v>
                </c:pt>
                <c:pt idx="4">
                  <c:v>Fonctionnaire</c:v>
                </c:pt>
                <c:pt idx="5">
                  <c:v>Retraité</c:v>
                </c:pt>
              </c:strCache>
            </c:strRef>
          </c:cat>
          <c:val>
            <c:numRef>
              <c:f>'qui doit gérer le régime des re'!$F$20:$K$20</c:f>
              <c:numCache>
                <c:formatCode>0%</c:formatCode>
                <c:ptCount val="6"/>
                <c:pt idx="0">
                  <c:v>0.38</c:v>
                </c:pt>
                <c:pt idx="1">
                  <c:v>0.56000000000000005</c:v>
                </c:pt>
                <c:pt idx="2">
                  <c:v>0.32</c:v>
                </c:pt>
                <c:pt idx="3">
                  <c:v>0.35</c:v>
                </c:pt>
                <c:pt idx="4">
                  <c:v>0.53</c:v>
                </c:pt>
                <c:pt idx="5">
                  <c:v>0.39</c:v>
                </c:pt>
              </c:numCache>
            </c:numRef>
          </c:val>
          <c:extLst>
            <c:ext xmlns:c16="http://schemas.microsoft.com/office/drawing/2014/chart" uri="{C3380CC4-5D6E-409C-BE32-E72D297353CC}">
              <c16:uniqueId val="{00000000-AAEC-46DF-8C36-CF5C46BDF6F2}"/>
            </c:ext>
          </c:extLst>
        </c:ser>
        <c:ser>
          <c:idx val="1"/>
          <c:order val="1"/>
          <c:tx>
            <c:strRef>
              <c:f>'qui doit gérer le régime des re'!$E$21</c:f>
              <c:strCache>
                <c:ptCount val="1"/>
                <c:pt idx="0">
                  <c:v>Les partenaires sociaux</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spc="-40" baseline="0">
                    <a:solidFill>
                      <a:schemeClr val="bg2"/>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 doit gérer le régime des re'!$F$19:$K$19</c:f>
              <c:strCache>
                <c:ptCount val="6"/>
                <c:pt idx="0">
                  <c:v>Ensemble des Français</c:v>
                </c:pt>
                <c:pt idx="1">
                  <c:v>Indépendant</c:v>
                </c:pt>
                <c:pt idx="2">
                  <c:v>Salarié du privé</c:v>
                </c:pt>
                <c:pt idx="3">
                  <c:v>Salarié d'une entreprise publique</c:v>
                </c:pt>
                <c:pt idx="4">
                  <c:v>Fonctionnaire</c:v>
                </c:pt>
                <c:pt idx="5">
                  <c:v>Retraité</c:v>
                </c:pt>
              </c:strCache>
            </c:strRef>
          </c:cat>
          <c:val>
            <c:numRef>
              <c:f>'qui doit gérer le régime des re'!$F$21:$K$21</c:f>
              <c:numCache>
                <c:formatCode>0%</c:formatCode>
                <c:ptCount val="6"/>
                <c:pt idx="0">
                  <c:v>0.62</c:v>
                </c:pt>
                <c:pt idx="1">
                  <c:v>0.44</c:v>
                </c:pt>
                <c:pt idx="2">
                  <c:v>0.68</c:v>
                </c:pt>
                <c:pt idx="3">
                  <c:v>0.65</c:v>
                </c:pt>
                <c:pt idx="4">
                  <c:v>0.47</c:v>
                </c:pt>
                <c:pt idx="5">
                  <c:v>0.61</c:v>
                </c:pt>
              </c:numCache>
            </c:numRef>
          </c:val>
          <c:extLst>
            <c:ext xmlns:c16="http://schemas.microsoft.com/office/drawing/2014/chart" uri="{C3380CC4-5D6E-409C-BE32-E72D297353CC}">
              <c16:uniqueId val="{00000001-AAEC-46DF-8C36-CF5C46BDF6F2}"/>
            </c:ext>
          </c:extLst>
        </c:ser>
        <c:dLbls>
          <c:dLblPos val="inEnd"/>
          <c:showLegendKey val="0"/>
          <c:showVal val="1"/>
          <c:showCatName val="0"/>
          <c:showSerName val="0"/>
          <c:showPercent val="0"/>
          <c:showBubbleSize val="0"/>
        </c:dLbls>
        <c:gapWidth val="100"/>
        <c:overlap val="-24"/>
        <c:axId val="335241296"/>
        <c:axId val="335246976"/>
      </c:barChart>
      <c:catAx>
        <c:axId val="335241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crossAx val="335246976"/>
        <c:crosses val="autoZero"/>
        <c:auto val="1"/>
        <c:lblAlgn val="ctr"/>
        <c:lblOffset val="100"/>
        <c:noMultiLvlLbl val="0"/>
      </c:catAx>
      <c:valAx>
        <c:axId val="3352469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crossAx val="33524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spc="-40" baseline="0">
          <a:solidFill>
            <a:sysClr val="windowText" lastClr="000000"/>
          </a:solidFill>
        </a:defRPr>
      </a:pPr>
      <a:endParaRPr lang="fr-FR"/>
    </a:p>
  </c:txPr>
  <c:externalData r:id="rId3">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r>
              <a:rPr lang="fr-FR"/>
              <a:t>Quelle est votre préférence en matière de système de retraite ?</a:t>
            </a:r>
          </a:p>
        </c:rich>
      </c:tx>
      <c:overlay val="0"/>
      <c:spPr>
        <a:noFill/>
        <a:ln>
          <a:noFill/>
        </a:ln>
        <a:effectLst/>
      </c:spPr>
      <c:txPr>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0.10279002335292431"/>
          <c:y val="0.15441930306983379"/>
          <c:w val="0.86633897333946819"/>
          <c:h val="0.49625189369143585"/>
        </c:manualLayout>
      </c:layout>
      <c:barChart>
        <c:barDir val="col"/>
        <c:grouping val="percentStacked"/>
        <c:varyColors val="0"/>
        <c:ser>
          <c:idx val="0"/>
          <c:order val="0"/>
          <c:tx>
            <c:strRef>
              <c:f>'repartition capi'!$D$35</c:f>
              <c:strCache>
                <c:ptCount val="1"/>
                <c:pt idx="0">
                  <c:v>Un système uniquement par répartition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spc="-40" baseline="0">
                    <a:solidFill>
                      <a:schemeClr val="bg2"/>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'repartition capi'!$E$34:$L$34</c:f>
              <c:strCache>
                <c:ptCount val="8"/>
                <c:pt idx="0">
                  <c:v>Ensemble des Français </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'repartition capi'!$E$35:$L$35</c:f>
              <c:numCache>
                <c:formatCode>0%</c:formatCode>
                <c:ptCount val="8"/>
                <c:pt idx="0">
                  <c:v>0.43</c:v>
                </c:pt>
                <c:pt idx="1">
                  <c:v>0.25</c:v>
                </c:pt>
                <c:pt idx="2">
                  <c:v>0.38</c:v>
                </c:pt>
                <c:pt idx="3">
                  <c:v>0.37</c:v>
                </c:pt>
                <c:pt idx="4">
                  <c:v>0.52</c:v>
                </c:pt>
                <c:pt idx="5">
                  <c:v>0.54</c:v>
                </c:pt>
                <c:pt idx="6">
                  <c:v>0.41</c:v>
                </c:pt>
                <c:pt idx="7">
                  <c:v>0.43</c:v>
                </c:pt>
              </c:numCache>
            </c:numRef>
          </c:val>
          <c:extLst>
            <c:ext xmlns:c16="http://schemas.microsoft.com/office/drawing/2014/chart" uri="{C3380CC4-5D6E-409C-BE32-E72D297353CC}">
              <c16:uniqueId val="{00000000-F0BB-4374-85C1-A5C2FD8352A0}"/>
            </c:ext>
          </c:extLst>
        </c:ser>
        <c:ser>
          <c:idx val="1"/>
          <c:order val="1"/>
          <c:tx>
            <c:strRef>
              <c:f>'repartition capi'!$D$36</c:f>
              <c:strCache>
                <c:ptCount val="1"/>
                <c:pt idx="0">
                  <c:v>Un système mixte répartition/capitalisation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spc="-40" baseline="0">
                    <a:solidFill>
                      <a:schemeClr val="bg2"/>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'repartition capi'!$E$34:$L$34</c:f>
              <c:strCache>
                <c:ptCount val="8"/>
                <c:pt idx="0">
                  <c:v>Ensemble des Français </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'repartition capi'!$E$36:$L$36</c:f>
              <c:numCache>
                <c:formatCode>0%</c:formatCode>
                <c:ptCount val="8"/>
                <c:pt idx="0">
                  <c:v>0.45</c:v>
                </c:pt>
                <c:pt idx="1">
                  <c:v>0.59</c:v>
                </c:pt>
                <c:pt idx="2">
                  <c:v>0.49</c:v>
                </c:pt>
                <c:pt idx="3">
                  <c:v>0.51</c:v>
                </c:pt>
                <c:pt idx="4">
                  <c:v>0.32</c:v>
                </c:pt>
                <c:pt idx="5">
                  <c:v>0.32</c:v>
                </c:pt>
                <c:pt idx="6">
                  <c:v>0.47</c:v>
                </c:pt>
                <c:pt idx="7">
                  <c:v>0.48</c:v>
                </c:pt>
              </c:numCache>
            </c:numRef>
          </c:val>
          <c:extLst>
            <c:ext xmlns:c16="http://schemas.microsoft.com/office/drawing/2014/chart" uri="{C3380CC4-5D6E-409C-BE32-E72D297353CC}">
              <c16:uniqueId val="{00000001-F0BB-4374-85C1-A5C2FD8352A0}"/>
            </c:ext>
          </c:extLst>
        </c:ser>
        <c:ser>
          <c:idx val="2"/>
          <c:order val="2"/>
          <c:tx>
            <c:strRef>
              <c:f>'repartition capi'!$D$37</c:f>
              <c:strCache>
                <c:ptCount val="1"/>
                <c:pt idx="0">
                  <c:v>Un système exclusivement en capitalisation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spc="-40" baseline="0">
                    <a:solidFill>
                      <a:schemeClr val="bg2"/>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'repartition capi'!$E$34:$L$34</c:f>
              <c:strCache>
                <c:ptCount val="8"/>
                <c:pt idx="0">
                  <c:v>Ensemble des Français </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'repartition capi'!$E$37:$L$37</c:f>
              <c:numCache>
                <c:formatCode>0%</c:formatCode>
                <c:ptCount val="8"/>
                <c:pt idx="0">
                  <c:v>0.12</c:v>
                </c:pt>
                <c:pt idx="1">
                  <c:v>0.16</c:v>
                </c:pt>
                <c:pt idx="2">
                  <c:v>0.13</c:v>
                </c:pt>
                <c:pt idx="3">
                  <c:v>0.14000000000000001</c:v>
                </c:pt>
                <c:pt idx="4">
                  <c:v>0.16</c:v>
                </c:pt>
                <c:pt idx="5">
                  <c:v>0.14000000000000001</c:v>
                </c:pt>
                <c:pt idx="6">
                  <c:v>0.12</c:v>
                </c:pt>
                <c:pt idx="7">
                  <c:v>0.09</c:v>
                </c:pt>
              </c:numCache>
            </c:numRef>
          </c:val>
          <c:extLst>
            <c:ext xmlns:c16="http://schemas.microsoft.com/office/drawing/2014/chart" uri="{C3380CC4-5D6E-409C-BE32-E72D297353CC}">
              <c16:uniqueId val="{00000002-F0BB-4374-85C1-A5C2FD8352A0}"/>
            </c:ext>
          </c:extLst>
        </c:ser>
        <c:dLbls>
          <c:showLegendKey val="0"/>
          <c:showVal val="1"/>
          <c:showCatName val="0"/>
          <c:showSerName val="0"/>
          <c:showPercent val="0"/>
          <c:showBubbleSize val="0"/>
        </c:dLbls>
        <c:gapWidth val="150"/>
        <c:overlap val="100"/>
        <c:axId val="369057248"/>
        <c:axId val="369058928"/>
      </c:barChart>
      <c:catAx>
        <c:axId val="369057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spc="-40" baseline="0">
                <a:solidFill>
                  <a:sysClr val="windowText" lastClr="000000"/>
                </a:solidFill>
                <a:latin typeface="+mn-lt"/>
                <a:ea typeface="+mn-ea"/>
                <a:cs typeface="+mn-cs"/>
              </a:defRPr>
            </a:pPr>
            <a:endParaRPr lang="fr-FR"/>
          </a:p>
        </c:txPr>
        <c:crossAx val="369058928"/>
        <c:crosses val="autoZero"/>
        <c:auto val="1"/>
        <c:lblAlgn val="ctr"/>
        <c:lblOffset val="100"/>
        <c:noMultiLvlLbl val="0"/>
      </c:catAx>
      <c:valAx>
        <c:axId val="369058928"/>
        <c:scaling>
          <c:orientation val="minMax"/>
          <c:max val="1"/>
        </c:scaling>
        <c:delete val="1"/>
        <c:axPos val="l"/>
        <c:numFmt formatCode="0%" sourceLinked="1"/>
        <c:majorTickMark val="none"/>
        <c:minorTickMark val="none"/>
        <c:tickLblPos val="nextTo"/>
        <c:crossAx val="369057248"/>
        <c:crosses val="autoZero"/>
        <c:crossBetween val="between"/>
      </c:valAx>
      <c:spPr>
        <a:noFill/>
        <a:ln>
          <a:noFill/>
        </a:ln>
        <a:effectLst/>
      </c:spPr>
    </c:plotArea>
    <c:legend>
      <c:legendPos val="b"/>
      <c:layout>
        <c:manualLayout>
          <c:xMode val="edge"/>
          <c:yMode val="edge"/>
          <c:x val="2.7926451310454993E-2"/>
          <c:y val="0.80681317448145584"/>
          <c:w val="0.88681523409353324"/>
          <c:h val="0.16468326257317598"/>
        </c:manualLayout>
      </c:layout>
      <c:overlay val="0"/>
      <c:spPr>
        <a:noFill/>
        <a:ln>
          <a:noFill/>
        </a:ln>
        <a:effectLst/>
      </c:spPr>
      <c:txPr>
        <a:bodyPr rot="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spc="-40" baseline="0">
          <a:solidFill>
            <a:sysClr val="windowText" lastClr="000000"/>
          </a:solidFill>
        </a:defRPr>
      </a:pPr>
      <a:endParaRPr lang="fr-FR"/>
    </a:p>
  </c:txPr>
  <c:externalData r:id="rId3">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fr-FR"/>
              <a:t>En ce qui concerne l'âge de départ à la retraite estimez vous possible</a:t>
            </a:r>
          </a:p>
        </c:rich>
      </c:tx>
      <c:overlay val="0"/>
      <c:spPr>
        <a:noFill/>
        <a:ln>
          <a:noFill/>
        </a:ln>
        <a:effectLst/>
      </c:spPr>
    </c:title>
    <c:autoTitleDeleted val="0"/>
    <c:plotArea>
      <c:layout>
        <c:manualLayout>
          <c:layoutTarget val="inner"/>
          <c:xMode val="edge"/>
          <c:yMode val="edge"/>
          <c:x val="2.2050716648291068E-2"/>
          <c:y val="0.16111971624619906"/>
          <c:w val="0.95148842337375961"/>
          <c:h val="0.47607349588792941"/>
        </c:manualLayout>
      </c:layout>
      <c:barChart>
        <c:barDir val="col"/>
        <c:grouping val="clustered"/>
        <c:varyColors val="0"/>
        <c:ser>
          <c:idx val="0"/>
          <c:order val="0"/>
          <c:tx>
            <c:strRef>
              <c:f>'report de l''âge légal'!$D$27</c:f>
              <c:strCache>
                <c:ptCount val="1"/>
                <c:pt idx="0">
                  <c:v>De la ramener à 60 ans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sz="900">
                    <a:solidFill>
                      <a:schemeClr val="bg2"/>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de l''âge légal'!$E$26:$L$26</c:f>
              <c:strCache>
                <c:ptCount val="8"/>
                <c:pt idx="0">
                  <c:v>Ensemble des Français</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'report de l''âge légal'!$E$27:$L$27</c:f>
              <c:numCache>
                <c:formatCode>0%</c:formatCode>
                <c:ptCount val="8"/>
                <c:pt idx="0">
                  <c:v>0.41</c:v>
                </c:pt>
                <c:pt idx="1">
                  <c:v>0.5</c:v>
                </c:pt>
                <c:pt idx="2">
                  <c:v>0.31</c:v>
                </c:pt>
                <c:pt idx="3">
                  <c:v>0.48</c:v>
                </c:pt>
                <c:pt idx="4">
                  <c:v>0.59</c:v>
                </c:pt>
                <c:pt idx="5">
                  <c:v>0.56999999999999995</c:v>
                </c:pt>
                <c:pt idx="6">
                  <c:v>0.52</c:v>
                </c:pt>
                <c:pt idx="7">
                  <c:v>0.17</c:v>
                </c:pt>
              </c:numCache>
            </c:numRef>
          </c:val>
          <c:extLst>
            <c:ext xmlns:c16="http://schemas.microsoft.com/office/drawing/2014/chart" uri="{C3380CC4-5D6E-409C-BE32-E72D297353CC}">
              <c16:uniqueId val="{00000000-5466-4FE0-A249-9A750F0C1AE5}"/>
            </c:ext>
          </c:extLst>
        </c:ser>
        <c:ser>
          <c:idx val="1"/>
          <c:order val="1"/>
          <c:tx>
            <c:strRef>
              <c:f>'report de l''âge légal'!$D$28</c:f>
              <c:strCache>
                <c:ptCount val="1"/>
                <c:pt idx="0">
                  <c:v>De la maintenir à 62 ans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spPr>
                <a:noFill/>
                <a:ln>
                  <a:noFill/>
                </a:ln>
                <a:effectLst/>
              </c:spPr>
              <c:txPr>
                <a:bodyPr rot="0" vert="horz"/>
                <a:lstStyle/>
                <a:p>
                  <a:pPr>
                    <a:defRPr sz="900">
                      <a:solidFill>
                        <a:schemeClr val="bg2"/>
                      </a:solidFill>
                    </a:defRPr>
                  </a:pPr>
                  <a:endParaRPr lang="fr-FR"/>
                </a:p>
              </c:txPr>
              <c:dLblPos val="inEnd"/>
              <c:showLegendKey val="0"/>
              <c:showVal val="1"/>
              <c:showCatName val="0"/>
              <c:showSerName val="0"/>
              <c:showPercent val="0"/>
              <c:showBubbleSize val="0"/>
              <c:extLst>
                <c:ext xmlns:c16="http://schemas.microsoft.com/office/drawing/2014/chart" uri="{C3380CC4-5D6E-409C-BE32-E72D297353CC}">
                  <c16:uniqueId val="{00000000-B2E1-47DE-A115-796B0FAC208F}"/>
                </c:ext>
              </c:extLst>
            </c:dLbl>
            <c:spPr>
              <a:noFill/>
              <a:ln>
                <a:noFill/>
              </a:ln>
              <a:effectLst/>
            </c:spPr>
            <c:txPr>
              <a:bodyPr rot="0" vert="horz"/>
              <a:lstStyle/>
              <a:p>
                <a:pPr>
                  <a:defRPr>
                    <a:solidFill>
                      <a:schemeClr val="bg2"/>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de l''âge légal'!$E$26:$L$26</c:f>
              <c:strCache>
                <c:ptCount val="8"/>
                <c:pt idx="0">
                  <c:v>Ensemble des Français</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'report de l''âge légal'!$E$28:$L$28</c:f>
              <c:numCache>
                <c:formatCode>0%</c:formatCode>
                <c:ptCount val="8"/>
                <c:pt idx="0">
                  <c:v>0.38</c:v>
                </c:pt>
                <c:pt idx="1">
                  <c:v>0.33</c:v>
                </c:pt>
                <c:pt idx="2">
                  <c:v>0.38</c:v>
                </c:pt>
                <c:pt idx="3">
                  <c:v>0.4</c:v>
                </c:pt>
                <c:pt idx="4">
                  <c:v>0.32</c:v>
                </c:pt>
                <c:pt idx="5">
                  <c:v>0.32</c:v>
                </c:pt>
                <c:pt idx="6">
                  <c:v>0.35</c:v>
                </c:pt>
                <c:pt idx="7">
                  <c:v>0.45</c:v>
                </c:pt>
              </c:numCache>
            </c:numRef>
          </c:val>
          <c:extLst>
            <c:ext xmlns:c16="http://schemas.microsoft.com/office/drawing/2014/chart" uri="{C3380CC4-5D6E-409C-BE32-E72D297353CC}">
              <c16:uniqueId val="{00000001-5466-4FE0-A249-9A750F0C1AE5}"/>
            </c:ext>
          </c:extLst>
        </c:ser>
        <c:ser>
          <c:idx val="2"/>
          <c:order val="2"/>
          <c:tx>
            <c:strRef>
              <c:f>'report de l''âge légal'!$D$29</c:f>
              <c:strCache>
                <c:ptCount val="1"/>
                <c:pt idx="0">
                  <c:v>De la faire évoluer progressivement vers 65 ans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sz="900">
                    <a:solidFill>
                      <a:schemeClr val="bg2"/>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de l''âge légal'!$E$26:$L$26</c:f>
              <c:strCache>
                <c:ptCount val="8"/>
                <c:pt idx="0">
                  <c:v>Ensemble des Français</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'report de l''âge légal'!$E$29:$L$29</c:f>
              <c:numCache>
                <c:formatCode>0%</c:formatCode>
                <c:ptCount val="8"/>
                <c:pt idx="0">
                  <c:v>0.21</c:v>
                </c:pt>
                <c:pt idx="1">
                  <c:v>0.17</c:v>
                </c:pt>
                <c:pt idx="2">
                  <c:v>0.31</c:v>
                </c:pt>
                <c:pt idx="3">
                  <c:v>0.12</c:v>
                </c:pt>
                <c:pt idx="4">
                  <c:v>0.09</c:v>
                </c:pt>
                <c:pt idx="5">
                  <c:v>0.11</c:v>
                </c:pt>
                <c:pt idx="6">
                  <c:v>0.13</c:v>
                </c:pt>
                <c:pt idx="7">
                  <c:v>0.38</c:v>
                </c:pt>
              </c:numCache>
            </c:numRef>
          </c:val>
          <c:extLst>
            <c:ext xmlns:c16="http://schemas.microsoft.com/office/drawing/2014/chart" uri="{C3380CC4-5D6E-409C-BE32-E72D297353CC}">
              <c16:uniqueId val="{00000002-5466-4FE0-A249-9A750F0C1AE5}"/>
            </c:ext>
          </c:extLst>
        </c:ser>
        <c:dLbls>
          <c:showLegendKey val="0"/>
          <c:showVal val="1"/>
          <c:showCatName val="0"/>
          <c:showSerName val="0"/>
          <c:showPercent val="0"/>
          <c:showBubbleSize val="0"/>
        </c:dLbls>
        <c:gapWidth val="50"/>
        <c:overlap val="-20"/>
        <c:axId val="272115584"/>
        <c:axId val="272117120"/>
      </c:barChart>
      <c:catAx>
        <c:axId val="272115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fr-FR"/>
          </a:p>
        </c:txPr>
        <c:crossAx val="272117120"/>
        <c:crosses val="autoZero"/>
        <c:auto val="1"/>
        <c:lblAlgn val="ctr"/>
        <c:lblOffset val="100"/>
        <c:noMultiLvlLbl val="0"/>
      </c:catAx>
      <c:valAx>
        <c:axId val="272117120"/>
        <c:scaling>
          <c:orientation val="minMax"/>
        </c:scaling>
        <c:delete val="1"/>
        <c:axPos val="l"/>
        <c:numFmt formatCode="0%" sourceLinked="1"/>
        <c:majorTickMark val="none"/>
        <c:minorTickMark val="none"/>
        <c:tickLblPos val="nextTo"/>
        <c:crossAx val="272115584"/>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spc="-40" baseline="0">
          <a:solidFill>
            <a:sysClr val="windowText" lastClr="000000"/>
          </a:solidFill>
        </a:defRPr>
      </a:pPr>
      <a:endParaRPr lang="fr-FR"/>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fr-FR"/>
              <a:t>À la retraite estimez-vous que votre pension est ou sera suffisante </a:t>
            </a:r>
          </a:p>
          <a:p>
            <a:pPr>
              <a:defRPr/>
            </a:pPr>
            <a:r>
              <a:rPr lang="fr-FR"/>
              <a:t>pour vivre correctement ?</a:t>
            </a:r>
          </a:p>
        </c:rich>
      </c:tx>
      <c:overlay val="0"/>
      <c:spPr>
        <a:noFill/>
        <a:ln>
          <a:noFill/>
        </a:ln>
        <a:effectLst/>
      </c:spPr>
    </c:title>
    <c:autoTitleDeleted val="0"/>
    <c:plotArea>
      <c:layout>
        <c:manualLayout>
          <c:layoutTarget val="inner"/>
          <c:xMode val="edge"/>
          <c:yMode val="edge"/>
          <c:x val="2.2050716648291068E-2"/>
          <c:y val="0.21872455902306648"/>
          <c:w val="0.95148842337375961"/>
          <c:h val="0.53631171273197353"/>
        </c:manualLayout>
      </c:layout>
      <c:barChart>
        <c:barDir val="col"/>
        <c:grouping val="clustered"/>
        <c:varyColors val="0"/>
        <c:ser>
          <c:idx val="0"/>
          <c:order val="0"/>
          <c:tx>
            <c:strRef>
              <c:f>'niveau de pension'!$A$10</c:f>
              <c:strCache>
                <c:ptCount val="1"/>
                <c:pt idx="0">
                  <c:v>Suffisante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a:solidFill>
                      <a:schemeClr val="bg2"/>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'niveau de pension'!$B$8:$F$9</c:f>
              <c:strCache>
                <c:ptCount val="5"/>
                <c:pt idx="0">
                  <c:v>2015</c:v>
                </c:pt>
                <c:pt idx="1">
                  <c:v>2016</c:v>
                </c:pt>
                <c:pt idx="2">
                  <c:v>2017</c:v>
                </c:pt>
                <c:pt idx="3">
                  <c:v>2018</c:v>
                </c:pt>
                <c:pt idx="4">
                  <c:v>2019</c:v>
                </c:pt>
              </c:strCache>
            </c:strRef>
          </c:cat>
          <c:val>
            <c:numRef>
              <c:f>'niveau de pension'!$B$10:$F$10</c:f>
              <c:numCache>
                <c:formatCode>0%</c:formatCode>
                <c:ptCount val="5"/>
                <c:pt idx="0">
                  <c:v>0.24</c:v>
                </c:pt>
                <c:pt idx="1">
                  <c:v>0.28000000000000003</c:v>
                </c:pt>
                <c:pt idx="2">
                  <c:v>0.28999999999999998</c:v>
                </c:pt>
                <c:pt idx="3">
                  <c:v>0.26</c:v>
                </c:pt>
                <c:pt idx="4">
                  <c:v>0.31</c:v>
                </c:pt>
              </c:numCache>
            </c:numRef>
          </c:val>
          <c:extLst>
            <c:ext xmlns:c16="http://schemas.microsoft.com/office/drawing/2014/chart" uri="{C3380CC4-5D6E-409C-BE32-E72D297353CC}">
              <c16:uniqueId val="{00000000-38F3-435F-B65F-8913B0DA0453}"/>
            </c:ext>
          </c:extLst>
        </c:ser>
        <c:ser>
          <c:idx val="1"/>
          <c:order val="1"/>
          <c:tx>
            <c:strRef>
              <c:f>'niveau de pension'!$A$11</c:f>
              <c:strCache>
                <c:ptCount val="1"/>
                <c:pt idx="0">
                  <c:v>Insuffisante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vert="horz"/>
              <a:lstStyle/>
              <a:p>
                <a:pPr>
                  <a:defRPr>
                    <a:solidFill>
                      <a:schemeClr val="bg2"/>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'niveau de pension'!$B$8:$F$9</c:f>
              <c:strCache>
                <c:ptCount val="5"/>
                <c:pt idx="0">
                  <c:v>2015</c:v>
                </c:pt>
                <c:pt idx="1">
                  <c:v>2016</c:v>
                </c:pt>
                <c:pt idx="2">
                  <c:v>2017</c:v>
                </c:pt>
                <c:pt idx="3">
                  <c:v>2018</c:v>
                </c:pt>
                <c:pt idx="4">
                  <c:v>2019</c:v>
                </c:pt>
              </c:strCache>
            </c:strRef>
          </c:cat>
          <c:val>
            <c:numRef>
              <c:f>'niveau de pension'!$B$11:$F$11</c:f>
              <c:numCache>
                <c:formatCode>0%</c:formatCode>
                <c:ptCount val="5"/>
                <c:pt idx="0">
                  <c:v>0.76</c:v>
                </c:pt>
                <c:pt idx="1">
                  <c:v>0.72</c:v>
                </c:pt>
                <c:pt idx="2">
                  <c:v>0.71</c:v>
                </c:pt>
                <c:pt idx="3">
                  <c:v>0.74</c:v>
                </c:pt>
                <c:pt idx="4">
                  <c:v>0.69</c:v>
                </c:pt>
              </c:numCache>
            </c:numRef>
          </c:val>
          <c:extLst>
            <c:ext xmlns:c16="http://schemas.microsoft.com/office/drawing/2014/chart" uri="{C3380CC4-5D6E-409C-BE32-E72D297353CC}">
              <c16:uniqueId val="{00000001-38F3-435F-B65F-8913B0DA0453}"/>
            </c:ext>
          </c:extLst>
        </c:ser>
        <c:dLbls>
          <c:showLegendKey val="0"/>
          <c:showVal val="1"/>
          <c:showCatName val="0"/>
          <c:showSerName val="0"/>
          <c:showPercent val="0"/>
          <c:showBubbleSize val="0"/>
        </c:dLbls>
        <c:gapWidth val="100"/>
        <c:overlap val="-24"/>
        <c:axId val="344788992"/>
        <c:axId val="344790528"/>
      </c:barChart>
      <c:catAx>
        <c:axId val="344788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fr-FR"/>
          </a:p>
        </c:txPr>
        <c:crossAx val="344790528"/>
        <c:crosses val="autoZero"/>
        <c:auto val="1"/>
        <c:lblAlgn val="ctr"/>
        <c:lblOffset val="100"/>
        <c:noMultiLvlLbl val="0"/>
      </c:catAx>
      <c:valAx>
        <c:axId val="344790528"/>
        <c:scaling>
          <c:orientation val="minMax"/>
        </c:scaling>
        <c:delete val="1"/>
        <c:axPos val="l"/>
        <c:numFmt formatCode="0%" sourceLinked="1"/>
        <c:majorTickMark val="none"/>
        <c:minorTickMark val="none"/>
        <c:tickLblPos val="nextTo"/>
        <c:crossAx val="344788992"/>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spc="-40" baseline="0">
          <a:solidFill>
            <a:sysClr val="windowText" lastClr="000000"/>
          </a:solidFill>
        </a:defRPr>
      </a:pPr>
      <a:endParaRPr lang="fr-FR"/>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fr-FR"/>
              <a:t>Proportion de personnes épargnant en vue de la retraite ? </a:t>
            </a:r>
          </a:p>
          <a:p>
            <a:pPr>
              <a:defRPr/>
            </a:pPr>
            <a:r>
              <a:rPr lang="fr-FR" sz="1200" b="1" i="0" u="none" strike="noStrike" baseline="0">
                <a:effectLst/>
              </a:rPr>
              <a:t>par catégorie socioprofessionnelle (CSP)</a:t>
            </a:r>
            <a:endParaRPr lang="fr-FR" b="1"/>
          </a:p>
        </c:rich>
      </c:tx>
      <c:overlay val="0"/>
      <c:spPr>
        <a:noFill/>
        <a:ln>
          <a:noFill/>
        </a:ln>
        <a:effectLst/>
      </c:spPr>
    </c:title>
    <c:autoTitleDeleted val="0"/>
    <c:plotArea>
      <c:layout>
        <c:manualLayout>
          <c:layoutTarget val="inner"/>
          <c:xMode val="edge"/>
          <c:yMode val="edge"/>
          <c:x val="6.0775074008802922E-2"/>
          <c:y val="0.17695042878058981"/>
          <c:w val="0.9204392780560644"/>
          <c:h val="0.5615958005249343"/>
        </c:manualLayout>
      </c:layout>
      <c:barChart>
        <c:barDir val="col"/>
        <c:grouping val="clustered"/>
        <c:varyColors val="0"/>
        <c:ser>
          <c:idx val="0"/>
          <c:order val="0"/>
          <c:tx>
            <c:strRef>
              <c:f>'épargne retraite '!$H$40</c:f>
              <c:strCache>
                <c:ptCount val="1"/>
                <c:pt idx="0">
                  <c:v>2019</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0-F0C4-42E6-AA43-614384E98B77}"/>
              </c:ext>
            </c:extLst>
          </c:dPt>
          <c:dLbls>
            <c:spPr>
              <a:noFill/>
              <a:ln>
                <a:noFill/>
              </a:ln>
              <a:effectLst/>
            </c:spPr>
            <c:txPr>
              <a:bodyPr rot="0" vert="horz"/>
              <a:lstStyle/>
              <a:p>
                <a:pPr>
                  <a:defRPr>
                    <a:solidFill>
                      <a:schemeClr val="bg2"/>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'épargne retraite '!$C$41:$C$48</c:f>
              <c:strCache>
                <c:ptCount val="8"/>
                <c:pt idx="0">
                  <c:v>Ensemble des Français</c:v>
                </c:pt>
                <c:pt idx="1">
                  <c:v>Artisan ou commerçant</c:v>
                </c:pt>
                <c:pt idx="2">
                  <c:v>Profession libérale/cadre supérieur</c:v>
                </c:pt>
                <c:pt idx="3">
                  <c:v>Profession intermédiaire</c:v>
                </c:pt>
                <c:pt idx="4">
                  <c:v>Employé</c:v>
                </c:pt>
                <c:pt idx="5">
                  <c:v>Ouvrier</c:v>
                </c:pt>
                <c:pt idx="6">
                  <c:v>Inactif </c:v>
                </c:pt>
                <c:pt idx="7">
                  <c:v>Retraité</c:v>
                </c:pt>
              </c:strCache>
            </c:strRef>
          </c:cat>
          <c:val>
            <c:numRef>
              <c:f>'épargne retraite '!$H$41:$H$48</c:f>
              <c:numCache>
                <c:formatCode>0%</c:formatCode>
                <c:ptCount val="8"/>
                <c:pt idx="0">
                  <c:v>0.56999999999999995</c:v>
                </c:pt>
                <c:pt idx="1">
                  <c:v>0.66</c:v>
                </c:pt>
                <c:pt idx="2">
                  <c:v>0.71</c:v>
                </c:pt>
                <c:pt idx="3">
                  <c:v>0.65</c:v>
                </c:pt>
                <c:pt idx="4">
                  <c:v>0.55000000000000004</c:v>
                </c:pt>
                <c:pt idx="5">
                  <c:v>0.55000000000000004</c:v>
                </c:pt>
                <c:pt idx="6">
                  <c:v>0.53</c:v>
                </c:pt>
                <c:pt idx="7">
                  <c:v>0.51</c:v>
                </c:pt>
              </c:numCache>
            </c:numRef>
          </c:val>
          <c:extLst>
            <c:ext xmlns:c16="http://schemas.microsoft.com/office/drawing/2014/chart" uri="{C3380CC4-5D6E-409C-BE32-E72D297353CC}">
              <c16:uniqueId val="{00000000-0A7A-4293-AE32-350F4226B626}"/>
            </c:ext>
          </c:extLst>
        </c:ser>
        <c:dLbls>
          <c:dLblPos val="inEnd"/>
          <c:showLegendKey val="0"/>
          <c:showVal val="1"/>
          <c:showCatName val="0"/>
          <c:showSerName val="0"/>
          <c:showPercent val="0"/>
          <c:showBubbleSize val="0"/>
        </c:dLbls>
        <c:gapWidth val="41"/>
        <c:axId val="345184896"/>
        <c:axId val="345208320"/>
      </c:barChart>
      <c:catAx>
        <c:axId val="345184896"/>
        <c:scaling>
          <c:orientation val="minMax"/>
        </c:scaling>
        <c:delete val="0"/>
        <c:axPos val="b"/>
        <c:numFmt formatCode="General" sourceLinked="1"/>
        <c:majorTickMark val="none"/>
        <c:minorTickMark val="none"/>
        <c:tickLblPos val="nextTo"/>
        <c:spPr>
          <a:noFill/>
          <a:ln>
            <a:noFill/>
          </a:ln>
          <a:effectLst/>
        </c:spPr>
        <c:txPr>
          <a:bodyPr rot="0" vert="horz"/>
          <a:lstStyle/>
          <a:p>
            <a:pPr>
              <a:defRPr/>
            </a:pPr>
            <a:endParaRPr lang="fr-FR"/>
          </a:p>
        </c:txPr>
        <c:crossAx val="345208320"/>
        <c:crosses val="autoZero"/>
        <c:auto val="1"/>
        <c:lblAlgn val="ctr"/>
        <c:lblOffset val="100"/>
        <c:noMultiLvlLbl val="0"/>
      </c:catAx>
      <c:valAx>
        <c:axId val="345208320"/>
        <c:scaling>
          <c:orientation val="minMax"/>
        </c:scaling>
        <c:delete val="1"/>
        <c:axPos val="l"/>
        <c:numFmt formatCode="0%" sourceLinked="1"/>
        <c:majorTickMark val="none"/>
        <c:minorTickMark val="none"/>
        <c:tickLblPos val="nextTo"/>
        <c:crossAx val="345184896"/>
        <c:crosses val="autoZero"/>
        <c:crossBetween val="between"/>
      </c:valAx>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sz="1000" spc="-40" baseline="0">
          <a:solidFill>
            <a:sysClr val="windowText" lastClr="000000"/>
          </a:solidFill>
        </a:defRPr>
      </a:pPr>
      <a:endParaRPr lang="fr-FR"/>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fr-FR"/>
        </a:p>
      </c:txPr>
    </c:title>
    <c:autoTitleDeleted val="0"/>
    <c:plotArea>
      <c:layout/>
      <c:barChart>
        <c:barDir val="bar"/>
        <c:grouping val="clustered"/>
        <c:varyColors val="0"/>
        <c:ser>
          <c:idx val="0"/>
          <c:order val="0"/>
          <c:tx>
            <c:strRef>
              <c:f>'le fonctionnement de la retrait'!$E$17</c:f>
              <c:strCache>
                <c:ptCount val="1"/>
                <c:pt idx="0">
                  <c:v>Les ressources du budget des retraités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 fonctionnement de la retrait'!$D$18:$D$20</c:f>
              <c:strCache>
                <c:ptCount val="3"/>
                <c:pt idx="0">
                  <c:v>Les pensions seules en l'absence d'épargne  accumulée</c:v>
                </c:pt>
                <c:pt idx="1">
                  <c:v>Les pensions seules, l'épargne accumulée étant dévolue à la transmission</c:v>
                </c:pt>
                <c:pt idx="2">
                  <c:v>Les pensions et l'épargne accumulée</c:v>
                </c:pt>
              </c:strCache>
            </c:strRef>
          </c:cat>
          <c:val>
            <c:numRef>
              <c:f>'le fonctionnement de la retrait'!$E$18:$E$20</c:f>
              <c:numCache>
                <c:formatCode>0%</c:formatCode>
                <c:ptCount val="3"/>
                <c:pt idx="0">
                  <c:v>0.3</c:v>
                </c:pt>
                <c:pt idx="1">
                  <c:v>0.28999999999999998</c:v>
                </c:pt>
                <c:pt idx="2">
                  <c:v>0.41</c:v>
                </c:pt>
              </c:numCache>
            </c:numRef>
          </c:val>
          <c:extLst>
            <c:ext xmlns:c16="http://schemas.microsoft.com/office/drawing/2014/chart" uri="{C3380CC4-5D6E-409C-BE32-E72D297353CC}">
              <c16:uniqueId val="{00000000-6913-4B32-BC5A-B0056A5E0CCA}"/>
            </c:ext>
          </c:extLst>
        </c:ser>
        <c:dLbls>
          <c:showLegendKey val="0"/>
          <c:showVal val="1"/>
          <c:showCatName val="0"/>
          <c:showSerName val="0"/>
          <c:showPercent val="0"/>
          <c:showBubbleSize val="0"/>
        </c:dLbls>
        <c:gapWidth val="115"/>
        <c:overlap val="-20"/>
        <c:axId val="913450008"/>
        <c:axId val="913450400"/>
      </c:barChart>
      <c:catAx>
        <c:axId val="9134500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crossAx val="913450400"/>
        <c:crosses val="autoZero"/>
        <c:auto val="1"/>
        <c:lblAlgn val="ctr"/>
        <c:lblOffset val="100"/>
        <c:noMultiLvlLbl val="0"/>
      </c:catAx>
      <c:valAx>
        <c:axId val="913450400"/>
        <c:scaling>
          <c:orientation val="minMax"/>
        </c:scaling>
        <c:delete val="1"/>
        <c:axPos val="b"/>
        <c:numFmt formatCode="0%" sourceLinked="1"/>
        <c:majorTickMark val="none"/>
        <c:minorTickMark val="none"/>
        <c:tickLblPos val="nextTo"/>
        <c:crossAx val="913450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r>
              <a:rPr lang="fr-FR"/>
              <a:t>Dans quels buts épargnez-vous ?</a:t>
            </a:r>
          </a:p>
        </c:rich>
      </c:tx>
      <c:overlay val="0"/>
      <c:spPr>
        <a:noFill/>
        <a:ln>
          <a:noFill/>
        </a:ln>
        <a:effectLst/>
      </c:spPr>
      <c:txPr>
        <a:bodyPr rot="0" spcFirstLastPara="1" vertOverflow="ellipsis" vert="horz" wrap="square" anchor="ctr" anchorCtr="1"/>
        <a:lstStyle/>
        <a:p>
          <a:pPr>
            <a:defRPr sz="1200" b="1" i="0" u="none" strike="noStrike" kern="1200" spc="-40" baseline="0">
              <a:solidFill>
                <a:sysClr val="windowText" lastClr="000000"/>
              </a:solidFill>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'objectifs de l''épargne'!$E$17</c:f>
              <c:strCache>
                <c:ptCount val="1"/>
                <c:pt idx="0">
                  <c:v>Ensemble des Français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'objectifs de l''épargne'!$D$18:$D$24</c:f>
              <c:strCache>
                <c:ptCount val="7"/>
                <c:pt idx="0">
                  <c:v>Par précaution</c:v>
                </c:pt>
                <c:pt idx="1">
                  <c:v>Pour votre retraite</c:v>
                </c:pt>
                <c:pt idx="2">
                  <c:v>Pour transmettre à ses héritiers</c:v>
                </c:pt>
                <c:pt idx="3">
                  <c:v>Pour réaliser un achat important</c:v>
                </c:pt>
                <c:pt idx="4">
                  <c:v>Pour aider ma famille</c:v>
                </c:pt>
                <c:pt idx="5">
                  <c:v>Pour acheter un logement </c:v>
                </c:pt>
                <c:pt idx="6">
                  <c:v>Je n'ai pas les moyens d'épargner</c:v>
                </c:pt>
              </c:strCache>
            </c:strRef>
          </c:cat>
          <c:val>
            <c:numRef>
              <c:f>'objectifs de l''épargne'!$E$18:$E$24</c:f>
              <c:numCache>
                <c:formatCode>0%</c:formatCode>
                <c:ptCount val="7"/>
                <c:pt idx="0">
                  <c:v>0.4</c:v>
                </c:pt>
                <c:pt idx="1">
                  <c:v>0.31</c:v>
                </c:pt>
                <c:pt idx="2">
                  <c:v>0.14000000000000001</c:v>
                </c:pt>
                <c:pt idx="3">
                  <c:v>0.13</c:v>
                </c:pt>
                <c:pt idx="4">
                  <c:v>0.13</c:v>
                </c:pt>
                <c:pt idx="5">
                  <c:v>0.11</c:v>
                </c:pt>
                <c:pt idx="6">
                  <c:v>0.14000000000000001</c:v>
                </c:pt>
              </c:numCache>
            </c:numRef>
          </c:val>
          <c:extLst>
            <c:ext xmlns:c16="http://schemas.microsoft.com/office/drawing/2014/chart" uri="{C3380CC4-5D6E-409C-BE32-E72D297353CC}">
              <c16:uniqueId val="{00000000-4859-49EC-BBAB-86CA5553E112}"/>
            </c:ext>
          </c:extLst>
        </c:ser>
        <c:dLbls>
          <c:showLegendKey val="0"/>
          <c:showVal val="1"/>
          <c:showCatName val="0"/>
          <c:showSerName val="0"/>
          <c:showPercent val="0"/>
          <c:showBubbleSize val="0"/>
        </c:dLbls>
        <c:gapWidth val="150"/>
        <c:shape val="box"/>
        <c:axId val="271150080"/>
        <c:axId val="271173504"/>
        <c:axId val="0"/>
      </c:bar3DChart>
      <c:catAx>
        <c:axId val="271150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spc="-40" baseline="0">
                <a:solidFill>
                  <a:sysClr val="windowText" lastClr="000000"/>
                </a:solidFill>
                <a:latin typeface="+mn-lt"/>
                <a:ea typeface="+mn-ea"/>
                <a:cs typeface="+mn-cs"/>
              </a:defRPr>
            </a:pPr>
            <a:endParaRPr lang="fr-FR"/>
          </a:p>
        </c:txPr>
        <c:crossAx val="271173504"/>
        <c:crosses val="autoZero"/>
        <c:auto val="1"/>
        <c:lblAlgn val="ctr"/>
        <c:lblOffset val="100"/>
        <c:noMultiLvlLbl val="0"/>
      </c:catAx>
      <c:valAx>
        <c:axId val="271173504"/>
        <c:scaling>
          <c:orientation val="minMax"/>
        </c:scaling>
        <c:delete val="1"/>
        <c:axPos val="l"/>
        <c:numFmt formatCode="0%" sourceLinked="1"/>
        <c:majorTickMark val="none"/>
        <c:minorTickMark val="none"/>
        <c:tickLblPos val="nextTo"/>
        <c:crossAx val="271150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spc="-40" baseline="0">
          <a:solidFill>
            <a:sysClr val="windowText" lastClr="000000"/>
          </a:solidFill>
        </a:defRPr>
      </a:pPr>
      <a:endParaRPr lang="fr-FR"/>
    </a:p>
  </c:txPr>
  <c:externalData r:id="rId3">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hème Office">
  <a:themeElements>
    <a:clrScheme name="CDE_LED">
      <a:dk1>
        <a:sysClr val="windowText" lastClr="000000"/>
      </a:dk1>
      <a:lt1>
        <a:srgbClr val="FFFFFF"/>
      </a:lt1>
      <a:dk2>
        <a:srgbClr val="FFFFFF"/>
      </a:dk2>
      <a:lt2>
        <a:srgbClr val="FFFFFF"/>
      </a:lt2>
      <a:accent1>
        <a:srgbClr val="E81C23"/>
      </a:accent1>
      <a:accent2>
        <a:srgbClr val="1F5584"/>
      </a:accent2>
      <a:accent3>
        <a:srgbClr val="92D050"/>
      </a:accent3>
      <a:accent4>
        <a:srgbClr val="4BACC6"/>
      </a:accent4>
      <a:accent5>
        <a:srgbClr val="FFC000"/>
      </a:accent5>
      <a:accent6>
        <a:srgbClr val="FE66FF"/>
      </a:accent6>
      <a:hlink>
        <a:srgbClr val="0000FF"/>
      </a:hlink>
      <a:folHlink>
        <a:srgbClr val="0000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0236-14BF-4581-AE57-5C8C51E1C972}">
  <ds:schemaRefs>
    <ds:schemaRef ds:uri="http://schemas.openxmlformats.org/officeDocument/2006/bibliography"/>
  </ds:schemaRefs>
</ds:datastoreItem>
</file>

<file path=customXml/itemProps2.xml><?xml version="1.0" encoding="utf-8"?>
<ds:datastoreItem xmlns:ds="http://schemas.openxmlformats.org/officeDocument/2006/customXml" ds:itemID="{F87F355F-150D-4636-8004-BAF4984E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2032</Words>
  <Characters>11180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AG2RLM</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Crevel</dc:creator>
  <cp:lastModifiedBy>LE GOUEZ Sarah (EXTERNE)</cp:lastModifiedBy>
  <cp:revision>2</cp:revision>
  <cp:lastPrinted>2019-06-07T07:48:00Z</cp:lastPrinted>
  <dcterms:created xsi:type="dcterms:W3CDTF">2019-06-07T07:49:00Z</dcterms:created>
  <dcterms:modified xsi:type="dcterms:W3CDTF">2019-06-07T07:49:00Z</dcterms:modified>
</cp:coreProperties>
</file>