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E8" w:rsidRPr="007D5752" w:rsidRDefault="007A29E8" w:rsidP="007D5752">
      <w:pPr>
        <w:pStyle w:val="Sansinterligne"/>
        <w:jc w:val="right"/>
      </w:pPr>
      <w:r w:rsidRPr="007D5752">
        <w:t>Paris, le 1</w:t>
      </w:r>
      <w:r w:rsidRPr="007D5752">
        <w:rPr>
          <w:vertAlign w:val="superscript"/>
        </w:rPr>
        <w:t>er</w:t>
      </w:r>
      <w:r w:rsidRPr="007D5752">
        <w:t xml:space="preserve"> juin 2016</w:t>
      </w:r>
    </w:p>
    <w:p w:rsidR="007A29E8" w:rsidRPr="007D5752" w:rsidRDefault="007A29E8" w:rsidP="00852DFB">
      <w:pPr>
        <w:jc w:val="center"/>
        <w:rPr>
          <w:b/>
        </w:rPr>
      </w:pPr>
    </w:p>
    <w:p w:rsidR="007D5752" w:rsidRDefault="007D5752" w:rsidP="00852DFB">
      <w:pPr>
        <w:jc w:val="center"/>
        <w:rPr>
          <w:b/>
          <w:sz w:val="28"/>
        </w:rPr>
      </w:pPr>
    </w:p>
    <w:p w:rsidR="00847445" w:rsidRPr="007D5752" w:rsidRDefault="007A29E8" w:rsidP="00852DFB">
      <w:pPr>
        <w:jc w:val="center"/>
        <w:rPr>
          <w:b/>
          <w:sz w:val="28"/>
        </w:rPr>
      </w:pPr>
      <w:r w:rsidRPr="007D5752">
        <w:rPr>
          <w:b/>
          <w:sz w:val="28"/>
        </w:rPr>
        <w:t xml:space="preserve">COMMUNIQUÉ </w:t>
      </w:r>
      <w:r w:rsidR="00182131" w:rsidRPr="007D5752">
        <w:rPr>
          <w:b/>
          <w:sz w:val="28"/>
        </w:rPr>
        <w:t>DE PRESSE</w:t>
      </w:r>
    </w:p>
    <w:p w:rsidR="00182131" w:rsidRPr="007D5752" w:rsidRDefault="00182131" w:rsidP="00852DFB">
      <w:pPr>
        <w:jc w:val="center"/>
        <w:rPr>
          <w:b/>
          <w:sz w:val="28"/>
        </w:rPr>
      </w:pPr>
    </w:p>
    <w:p w:rsidR="00182131" w:rsidRPr="007D5752" w:rsidRDefault="00182131" w:rsidP="00852DFB">
      <w:pPr>
        <w:jc w:val="center"/>
        <w:rPr>
          <w:b/>
          <w:sz w:val="28"/>
        </w:rPr>
      </w:pPr>
      <w:r w:rsidRPr="007D5752">
        <w:rPr>
          <w:b/>
          <w:sz w:val="28"/>
        </w:rPr>
        <w:t>ENQU</w:t>
      </w:r>
      <w:r w:rsidR="007A29E8" w:rsidRPr="007D5752">
        <w:rPr>
          <w:rFonts w:cs="Arial"/>
          <w:b/>
          <w:sz w:val="28"/>
        </w:rPr>
        <w:t>Ê</w:t>
      </w:r>
      <w:r w:rsidRPr="007D5752">
        <w:rPr>
          <w:b/>
          <w:sz w:val="28"/>
        </w:rPr>
        <w:t>TE 2016</w:t>
      </w:r>
      <w:r w:rsidR="00712A25" w:rsidRPr="007D5752">
        <w:rPr>
          <w:b/>
          <w:sz w:val="28"/>
        </w:rPr>
        <w:t xml:space="preserve"> </w:t>
      </w:r>
      <w:r w:rsidR="007A29E8" w:rsidRPr="007D5752">
        <w:rPr>
          <w:b/>
          <w:sz w:val="28"/>
        </w:rPr>
        <w:t xml:space="preserve">DU </w:t>
      </w:r>
      <w:r w:rsidR="00847445" w:rsidRPr="007D5752">
        <w:rPr>
          <w:b/>
          <w:sz w:val="28"/>
        </w:rPr>
        <w:t xml:space="preserve">CERCLE DE </w:t>
      </w:r>
      <w:r w:rsidR="007A29E8" w:rsidRPr="007D5752">
        <w:rPr>
          <w:b/>
          <w:sz w:val="28"/>
        </w:rPr>
        <w:t>L’ÉPARGNE</w:t>
      </w:r>
      <w:r w:rsidR="00DE5147" w:rsidRPr="007D5752">
        <w:rPr>
          <w:b/>
          <w:color w:val="E71C23"/>
          <w:sz w:val="28"/>
        </w:rPr>
        <w:t>*</w:t>
      </w:r>
    </w:p>
    <w:p w:rsidR="00847445" w:rsidRPr="007D5752" w:rsidRDefault="00847445" w:rsidP="00852DFB">
      <w:pPr>
        <w:jc w:val="center"/>
        <w:rPr>
          <w:b/>
          <w:sz w:val="28"/>
        </w:rPr>
      </w:pPr>
    </w:p>
    <w:p w:rsidR="00847445" w:rsidRPr="007D5752" w:rsidRDefault="00852DFB" w:rsidP="00852DFB">
      <w:pPr>
        <w:jc w:val="center"/>
        <w:rPr>
          <w:b/>
          <w:sz w:val="28"/>
        </w:rPr>
      </w:pPr>
      <w:r w:rsidRPr="007D5752">
        <w:rPr>
          <w:b/>
          <w:sz w:val="28"/>
        </w:rPr>
        <w:t>« </w:t>
      </w:r>
      <w:r w:rsidR="007A29E8" w:rsidRPr="007D5752">
        <w:rPr>
          <w:b/>
          <w:sz w:val="28"/>
        </w:rPr>
        <w:t xml:space="preserve">LES FRANÇAIS, LA RETRAITE ET </w:t>
      </w:r>
      <w:r w:rsidR="00AB0CA4" w:rsidRPr="007D5752">
        <w:rPr>
          <w:b/>
          <w:sz w:val="28"/>
        </w:rPr>
        <w:t>L’ÉPARGNE </w:t>
      </w:r>
      <w:r w:rsidRPr="007D5752">
        <w:rPr>
          <w:b/>
          <w:sz w:val="28"/>
        </w:rPr>
        <w:t>»</w:t>
      </w:r>
    </w:p>
    <w:p w:rsidR="00847445" w:rsidRPr="007D5752" w:rsidRDefault="00847445" w:rsidP="00E925B7">
      <w:pPr>
        <w:pBdr>
          <w:bottom w:val="single" w:sz="4" w:space="1" w:color="auto"/>
        </w:pBdr>
      </w:pPr>
    </w:p>
    <w:p w:rsidR="00630266" w:rsidRPr="007D5752" w:rsidRDefault="00630266">
      <w:pPr>
        <w:rPr>
          <w:color w:val="E81C23"/>
        </w:rPr>
      </w:pPr>
    </w:p>
    <w:p w:rsidR="007D5752" w:rsidRPr="007D5752" w:rsidRDefault="007D5752" w:rsidP="007D5752">
      <w:pPr>
        <w:rPr>
          <w:b/>
          <w:color w:val="E81C23"/>
        </w:rPr>
      </w:pPr>
      <w:r w:rsidRPr="007D5752">
        <w:rPr>
          <w:b/>
          <w:color w:val="E81C23"/>
        </w:rPr>
        <w:t>LES FRANÇAIS PRÊTS À AGIR POUR LEUR RETRAITE ET LEUR ÉPARGNE !</w:t>
      </w:r>
    </w:p>
    <w:p w:rsidR="007D5752" w:rsidRPr="007D5752" w:rsidRDefault="007D5752" w:rsidP="007D5752">
      <w:pPr>
        <w:rPr>
          <w:color w:val="E81C23"/>
        </w:rPr>
      </w:pPr>
    </w:p>
    <w:p w:rsidR="007D5752" w:rsidRPr="007D5752" w:rsidRDefault="007D5752" w:rsidP="007D5752">
      <w:pPr>
        <w:pStyle w:val="Sansinterligne"/>
      </w:pPr>
    </w:p>
    <w:p w:rsidR="00873F30" w:rsidRDefault="00873F30" w:rsidP="00873F30">
      <w:r>
        <w:t xml:space="preserve">Les Français sont attachés à leur retraite d’où leur inquiétude en ce qui concerne son évolution. Ils sont prêts à accepter certaines réformes sous réserve que l’âge légal ne soit pas reporté à 65 ans. Afin de maintenir leur niveau de vie à la retraite, ce qui constitue une priorité, ils sont une majorité à épargner et ils sont favorables au développement de fonds de pension à la française. </w:t>
      </w:r>
    </w:p>
    <w:p w:rsidR="00873F30" w:rsidRDefault="00873F30" w:rsidP="00873F30"/>
    <w:p w:rsidR="00873F30" w:rsidRDefault="00873F30" w:rsidP="00873F30">
      <w:r>
        <w:t>En matière d’épargne, les épargnants jugent que prise de risques rime avec un meilleur rendement. Si l’immobilier reste une valeur sûre, l’assurance-vie conforte sa première place au sein des placements financiers avec une montée en puissance du contrat multi-supports permettant de panacher fonds euros et unités de compte.</w:t>
      </w:r>
    </w:p>
    <w:p w:rsidR="00873F30" w:rsidRDefault="00873F30" w:rsidP="00873F30"/>
    <w:p w:rsidR="00873F30" w:rsidRDefault="00873F30" w:rsidP="00873F30"/>
    <w:p w:rsidR="00873F30" w:rsidRPr="00D009BF" w:rsidRDefault="00873F30" w:rsidP="00873F30">
      <w:pPr>
        <w:jc w:val="center"/>
        <w:rPr>
          <w:b/>
          <w:color w:val="FF0000"/>
        </w:rPr>
      </w:pPr>
      <w:r w:rsidRPr="00D009BF">
        <w:rPr>
          <w:b/>
          <w:color w:val="FF0000"/>
        </w:rPr>
        <w:t>Les chiffres clefs</w:t>
      </w:r>
    </w:p>
    <w:p w:rsidR="00873F30" w:rsidRPr="007D5752" w:rsidRDefault="00873F30" w:rsidP="00873F30">
      <w:pPr>
        <w:rPr>
          <w:b/>
          <w:i/>
          <w:color w:val="E81C23"/>
        </w:rPr>
      </w:pPr>
    </w:p>
    <w:p w:rsidR="00873F30" w:rsidRDefault="00873F30" w:rsidP="00873F30">
      <w:pPr>
        <w:pStyle w:val="Paragraphedeliste"/>
        <w:numPr>
          <w:ilvl w:val="0"/>
          <w:numId w:val="1"/>
        </w:numPr>
        <w:ind w:left="714" w:hanging="357"/>
        <w:rPr>
          <w:b/>
          <w:i/>
        </w:rPr>
      </w:pPr>
      <w:r w:rsidRPr="007D5752">
        <w:rPr>
          <w:b/>
          <w:i/>
          <w:color w:val="E81C23"/>
        </w:rPr>
        <w:t xml:space="preserve">55 % </w:t>
      </w:r>
      <w:r w:rsidRPr="007D5752">
        <w:rPr>
          <w:b/>
          <w:i/>
        </w:rPr>
        <w:t>des épargnants jugent normal que le rendement soit conditionné à une prise de risques accrue</w:t>
      </w:r>
    </w:p>
    <w:p w:rsidR="00873F30" w:rsidRPr="007D5752" w:rsidRDefault="00873F30" w:rsidP="00873F30">
      <w:pPr>
        <w:pStyle w:val="Paragraphedeliste"/>
        <w:ind w:left="714"/>
        <w:rPr>
          <w:b/>
          <w:i/>
        </w:rPr>
      </w:pPr>
    </w:p>
    <w:p w:rsidR="00873F30" w:rsidRPr="00873F30" w:rsidRDefault="00873F30" w:rsidP="00873F30">
      <w:pPr>
        <w:pStyle w:val="Paragraphedeliste"/>
        <w:numPr>
          <w:ilvl w:val="0"/>
          <w:numId w:val="1"/>
        </w:numPr>
        <w:ind w:left="714" w:hanging="357"/>
        <w:rPr>
          <w:b/>
          <w:i/>
        </w:rPr>
      </w:pPr>
      <w:r w:rsidRPr="007D5752">
        <w:rPr>
          <w:b/>
          <w:i/>
          <w:color w:val="E81C23"/>
        </w:rPr>
        <w:t xml:space="preserve">65 % </w:t>
      </w:r>
      <w:r>
        <w:rPr>
          <w:b/>
          <w:i/>
        </w:rPr>
        <w:t xml:space="preserve">des </w:t>
      </w:r>
      <w:r w:rsidRPr="00873F30">
        <w:rPr>
          <w:b/>
          <w:i/>
        </w:rPr>
        <w:t>Français pensent que le placement immobilier est plus intéressant que l’assurance-vie (62 %)</w:t>
      </w:r>
    </w:p>
    <w:p w:rsidR="00873F30" w:rsidRPr="007D5752" w:rsidRDefault="00873F30" w:rsidP="00873F30">
      <w:pPr>
        <w:pStyle w:val="Paragraphedeliste"/>
        <w:ind w:left="714"/>
        <w:rPr>
          <w:b/>
          <w:i/>
        </w:rPr>
      </w:pPr>
    </w:p>
    <w:p w:rsidR="00873F30" w:rsidRPr="00873F30" w:rsidRDefault="00873F30" w:rsidP="00873F30">
      <w:pPr>
        <w:pStyle w:val="Paragraphedeliste"/>
        <w:numPr>
          <w:ilvl w:val="0"/>
          <w:numId w:val="1"/>
        </w:numPr>
        <w:ind w:left="714" w:hanging="357"/>
        <w:rPr>
          <w:b/>
          <w:i/>
        </w:rPr>
      </w:pPr>
      <w:r w:rsidRPr="007D5752">
        <w:rPr>
          <w:b/>
          <w:i/>
          <w:color w:val="E81C23"/>
        </w:rPr>
        <w:t xml:space="preserve">55 % </w:t>
      </w:r>
      <w:r w:rsidRPr="00873F30">
        <w:rPr>
          <w:b/>
          <w:i/>
        </w:rPr>
        <w:t xml:space="preserve">des Français déclarent épargner en vue de la retraite </w:t>
      </w:r>
    </w:p>
    <w:p w:rsidR="00873F30" w:rsidRPr="007D5752" w:rsidRDefault="00873F30" w:rsidP="00873F30">
      <w:pPr>
        <w:pStyle w:val="Paragraphedeliste"/>
        <w:ind w:left="714"/>
        <w:rPr>
          <w:b/>
          <w:i/>
        </w:rPr>
      </w:pPr>
    </w:p>
    <w:p w:rsidR="00873F30" w:rsidRPr="00873F30" w:rsidRDefault="00873F30" w:rsidP="00873F30">
      <w:pPr>
        <w:pStyle w:val="Paragraphedeliste"/>
        <w:numPr>
          <w:ilvl w:val="0"/>
          <w:numId w:val="1"/>
        </w:numPr>
        <w:ind w:left="714" w:hanging="357"/>
        <w:rPr>
          <w:b/>
          <w:i/>
          <w:szCs w:val="24"/>
        </w:rPr>
      </w:pPr>
      <w:r w:rsidRPr="007D5752">
        <w:rPr>
          <w:b/>
          <w:i/>
          <w:color w:val="E81C23"/>
          <w:szCs w:val="24"/>
        </w:rPr>
        <w:t xml:space="preserve">66 % </w:t>
      </w:r>
      <w:r w:rsidRPr="00873F30">
        <w:rPr>
          <w:b/>
          <w:i/>
          <w:szCs w:val="24"/>
        </w:rPr>
        <w:t>des Français sont favorables aux compléments de revenus par capitalisation</w:t>
      </w:r>
    </w:p>
    <w:p w:rsidR="00873F30" w:rsidRPr="00873F30" w:rsidRDefault="00873F30" w:rsidP="00873F30">
      <w:pPr>
        <w:jc w:val="left"/>
        <w:rPr>
          <w:szCs w:val="24"/>
        </w:rPr>
      </w:pPr>
      <w:r w:rsidRPr="00873F30">
        <w:rPr>
          <w:szCs w:val="24"/>
        </w:rPr>
        <w:br w:type="page"/>
      </w:r>
    </w:p>
    <w:p w:rsidR="00873F30" w:rsidRPr="00BC687B" w:rsidRDefault="00873F30" w:rsidP="00873F30">
      <w:pPr>
        <w:pStyle w:val="Paragraphedeliste"/>
        <w:numPr>
          <w:ilvl w:val="0"/>
          <w:numId w:val="3"/>
        </w:numPr>
        <w:pBdr>
          <w:bottom w:val="single" w:sz="4" w:space="1" w:color="auto"/>
        </w:pBdr>
        <w:rPr>
          <w:b/>
          <w:color w:val="E81C23"/>
        </w:rPr>
      </w:pPr>
      <w:r w:rsidRPr="00BC687B">
        <w:rPr>
          <w:b/>
          <w:color w:val="E81C23"/>
        </w:rPr>
        <w:lastRenderedPageBreak/>
        <w:t xml:space="preserve">LES FRANÇAIS FACE </w:t>
      </w:r>
      <w:r w:rsidR="004A008B" w:rsidRPr="007D5752">
        <w:rPr>
          <w:b/>
          <w:color w:val="E81C23"/>
        </w:rPr>
        <w:t>À</w:t>
      </w:r>
      <w:r w:rsidR="004A008B" w:rsidRPr="00BC687B">
        <w:rPr>
          <w:b/>
          <w:color w:val="E81C23"/>
        </w:rPr>
        <w:t xml:space="preserve"> </w:t>
      </w:r>
      <w:bookmarkStart w:id="0" w:name="_GoBack"/>
      <w:bookmarkEnd w:id="0"/>
      <w:r w:rsidRPr="00BC687B">
        <w:rPr>
          <w:b/>
          <w:color w:val="E81C23"/>
        </w:rPr>
        <w:t>LEUR RETRAITE</w:t>
      </w:r>
    </w:p>
    <w:p w:rsidR="00873F30" w:rsidRDefault="00873F30" w:rsidP="00873F30"/>
    <w:p w:rsidR="00873F30" w:rsidRPr="000B2E97" w:rsidRDefault="00873F30" w:rsidP="00873F30">
      <w:pPr>
        <w:pStyle w:val="Paragraphedeliste"/>
        <w:numPr>
          <w:ilvl w:val="0"/>
          <w:numId w:val="2"/>
        </w:numPr>
        <w:rPr>
          <w:b/>
        </w:rPr>
      </w:pPr>
      <w:r>
        <w:rPr>
          <w:b/>
        </w:rPr>
        <w:t>Une inquiétude à la hauteur de l’attachement des Français à leur système de retraite</w:t>
      </w:r>
    </w:p>
    <w:p w:rsidR="00873F30" w:rsidRDefault="00873F30" w:rsidP="00873F30">
      <w:pPr>
        <w:tabs>
          <w:tab w:val="left" w:pos="8388"/>
        </w:tabs>
      </w:pPr>
      <w:r>
        <w:tab/>
      </w:r>
    </w:p>
    <w:p w:rsidR="00873F30" w:rsidRDefault="00873F30" w:rsidP="00873F30">
      <w:r>
        <w:t>La succession des réformes et les difficultés économiques et financières de la France génèrent un climat anxiogène qui se traduit par un sentiment largement partagé au sein de la population que notre système de retraite est menacé.</w:t>
      </w:r>
    </w:p>
    <w:p w:rsidR="00873F30" w:rsidRDefault="00873F30" w:rsidP="00873F30"/>
    <w:p w:rsidR="00873F30" w:rsidRDefault="00873F30" w:rsidP="00873F30">
      <w:pPr>
        <w:pStyle w:val="Paragraphedeliste"/>
        <w:numPr>
          <w:ilvl w:val="0"/>
          <w:numId w:val="2"/>
        </w:numPr>
        <w:rPr>
          <w:b/>
        </w:rPr>
      </w:pPr>
      <w:r>
        <w:rPr>
          <w:b/>
        </w:rPr>
        <w:t>Quelles réformes pour conforter le système de retraite ?</w:t>
      </w:r>
    </w:p>
    <w:p w:rsidR="00873F30" w:rsidRDefault="00873F30" w:rsidP="00873F30"/>
    <w:p w:rsidR="00873F30" w:rsidRPr="00867D23" w:rsidRDefault="00873F30" w:rsidP="00873F30">
      <w:pPr>
        <w:rPr>
          <w:b/>
        </w:rPr>
      </w:pPr>
      <w:r>
        <w:t xml:space="preserve">Les Français restent attachés à l’idée de partir tôt à la retraite, autour de 60 ans si possible. </w:t>
      </w:r>
      <w:r w:rsidRPr="00873F30">
        <w:rPr>
          <w:b/>
        </w:rPr>
        <w:t>D</w:t>
      </w:r>
      <w:r w:rsidRPr="00630266">
        <w:rPr>
          <w:b/>
        </w:rPr>
        <w:t>e ce fait, il n’est pas étonnant qu’ils rejettent à 60 % le report de l’âge légal de 62 à 65 ans. Le principe de travailler plus longtemps pour avoir une meilleure pension divise les actifs en deux</w:t>
      </w:r>
      <w:r>
        <w:rPr>
          <w:b/>
        </w:rPr>
        <w:t xml:space="preserve"> catégories </w:t>
      </w:r>
      <w:r w:rsidRPr="00630266">
        <w:rPr>
          <w:b/>
        </w:rPr>
        <w:t>(50 % éta</w:t>
      </w:r>
      <w:r>
        <w:rPr>
          <w:b/>
        </w:rPr>
        <w:t>nt pour, quand 50 % sont contre).</w:t>
      </w:r>
    </w:p>
    <w:p w:rsidR="00873F30" w:rsidRPr="00630266" w:rsidRDefault="00873F30" w:rsidP="00873F30">
      <w:pPr>
        <w:rPr>
          <w:b/>
        </w:rPr>
      </w:pPr>
    </w:p>
    <w:p w:rsidR="00873F30" w:rsidRDefault="00873F30" w:rsidP="00873F30">
      <w:r>
        <w:t xml:space="preserve">L’unification des régimes de retraite est très favorablement accueilli ; 72 % des sondés y sont favorables. </w:t>
      </w:r>
    </w:p>
    <w:p w:rsidR="00873F30" w:rsidRDefault="00873F30" w:rsidP="00873F30"/>
    <w:p w:rsidR="00873F30" w:rsidRDefault="00873F30" w:rsidP="00873F30">
      <w:r w:rsidRPr="00630266">
        <w:rPr>
          <w:b/>
        </w:rPr>
        <w:t>Le développement des fonds de pension n’est plus un sujet de clivage au sein de l’opinion</w:t>
      </w:r>
      <w:r>
        <w:t xml:space="preserve"> (66 % des Français sont favorables, 70 % à droite et 59 % à gauche). La reconnaissance officielle par la loi Sapin II des fonds de pension témoigne d’une réelle évolution des mentalités en la matière. </w:t>
      </w:r>
    </w:p>
    <w:p w:rsidR="00873F30" w:rsidRDefault="00873F30" w:rsidP="00873F30"/>
    <w:p w:rsidR="00873F30" w:rsidRPr="00867D23" w:rsidRDefault="00873F30" w:rsidP="00873F30">
      <w:pPr>
        <w:pStyle w:val="Paragraphedeliste"/>
        <w:numPr>
          <w:ilvl w:val="0"/>
          <w:numId w:val="2"/>
        </w:numPr>
        <w:rPr>
          <w:b/>
        </w:rPr>
      </w:pPr>
      <w:r w:rsidRPr="00867D23">
        <w:rPr>
          <w:b/>
        </w:rPr>
        <w:t xml:space="preserve">72 % des Français pensent que leur pension est </w:t>
      </w:r>
      <w:r>
        <w:rPr>
          <w:b/>
        </w:rPr>
        <w:t xml:space="preserve">ou </w:t>
      </w:r>
      <w:r w:rsidRPr="00867D23">
        <w:rPr>
          <w:b/>
        </w:rPr>
        <w:t xml:space="preserve">sera insuffisante pour vivre correctement </w:t>
      </w:r>
    </w:p>
    <w:p w:rsidR="00873F30" w:rsidRDefault="00873F30" w:rsidP="00873F30"/>
    <w:p w:rsidR="00873F30" w:rsidRDefault="00873F30" w:rsidP="00873F30">
      <w:r>
        <w:rPr>
          <w:b/>
        </w:rPr>
        <w:t>P</w:t>
      </w:r>
      <w:r w:rsidRPr="00630266">
        <w:rPr>
          <w:b/>
        </w:rPr>
        <w:t xml:space="preserve">rès des </w:t>
      </w:r>
      <w:r>
        <w:rPr>
          <w:b/>
        </w:rPr>
        <w:t xml:space="preserve">3/4 </w:t>
      </w:r>
      <w:r w:rsidRPr="00630266">
        <w:rPr>
          <w:b/>
        </w:rPr>
        <w:t>des Français considèrent que leurs pensions ne leur permet</w:t>
      </w:r>
      <w:r w:rsidR="00B166B5">
        <w:rPr>
          <w:b/>
        </w:rPr>
        <w:t>tent</w:t>
      </w:r>
      <w:r>
        <w:rPr>
          <w:b/>
        </w:rPr>
        <w:t xml:space="preserve"> </w:t>
      </w:r>
      <w:r w:rsidRPr="00630266">
        <w:rPr>
          <w:b/>
        </w:rPr>
        <w:t>pas ou ne leur</w:t>
      </w:r>
      <w:r w:rsidR="00B166B5">
        <w:rPr>
          <w:b/>
        </w:rPr>
        <w:t>s</w:t>
      </w:r>
      <w:r w:rsidRPr="00630266">
        <w:rPr>
          <w:b/>
        </w:rPr>
        <w:t xml:space="preserve"> permettr</w:t>
      </w:r>
      <w:r w:rsidR="00B166B5">
        <w:rPr>
          <w:b/>
        </w:rPr>
        <w:t>ont</w:t>
      </w:r>
      <w:r w:rsidRPr="00630266">
        <w:rPr>
          <w:b/>
        </w:rPr>
        <w:t xml:space="preserve"> pas de vivre correctement. Près de la moitié des retraités partagent ce sentiment (49 %)</w:t>
      </w:r>
      <w:r>
        <w:t xml:space="preserve">.  </w:t>
      </w:r>
    </w:p>
    <w:p w:rsidR="00873F30" w:rsidRDefault="00873F30" w:rsidP="00873F30"/>
    <w:p w:rsidR="00873F30" w:rsidRPr="007E76C5" w:rsidRDefault="00873F30" w:rsidP="00873F30">
      <w:pPr>
        <w:pStyle w:val="Paragraphedeliste"/>
        <w:numPr>
          <w:ilvl w:val="0"/>
          <w:numId w:val="2"/>
        </w:numPr>
        <w:rPr>
          <w:b/>
        </w:rPr>
      </w:pPr>
      <w:r w:rsidRPr="007E76C5">
        <w:rPr>
          <w:b/>
        </w:rPr>
        <w:t>Comment bien préparer financièrement sa retraite ?</w:t>
      </w:r>
    </w:p>
    <w:p w:rsidR="00873F30" w:rsidRPr="00873F30" w:rsidRDefault="00873F30" w:rsidP="00873F30"/>
    <w:p w:rsidR="00873F30" w:rsidRPr="00873F30" w:rsidRDefault="00873F30" w:rsidP="00873F30">
      <w:r w:rsidRPr="00873F30">
        <w:rPr>
          <w:b/>
        </w:rPr>
        <w:t>Pour 63 % des Français, être propriétaire de sa résidence principale constitue la solution pour préparer sa retraite</w:t>
      </w:r>
      <w:r w:rsidRPr="00873F30">
        <w:t xml:space="preserve">. Pour 31 % d’entre eux, cette préparation passe également par la réalisation d’investissements dans l’immobilier locatif. </w:t>
      </w:r>
    </w:p>
    <w:p w:rsidR="00873F30" w:rsidRPr="00873F30" w:rsidRDefault="00873F30" w:rsidP="00873F30"/>
    <w:p w:rsidR="00873F30" w:rsidRPr="00873F30" w:rsidRDefault="00873F30" w:rsidP="00873F30">
      <w:pPr>
        <w:rPr>
          <w:b/>
        </w:rPr>
      </w:pPr>
      <w:r w:rsidRPr="00873F30">
        <w:rPr>
          <w:b/>
        </w:rPr>
        <w:t xml:space="preserve">Ils sont 52 % à penser que le recours à l’épargne financière est nécessaire (30 % optent pour des produits longs comme l’assurance-vie, et 22 % pour des produits dédiés à la retraite). </w:t>
      </w:r>
    </w:p>
    <w:p w:rsidR="00873F30" w:rsidRPr="00873F30" w:rsidRDefault="00873F30" w:rsidP="00873F30">
      <w:pPr>
        <w:rPr>
          <w:b/>
        </w:rPr>
      </w:pPr>
    </w:p>
    <w:p w:rsidR="00873F30" w:rsidRPr="00873F30" w:rsidRDefault="00873F30" w:rsidP="00873F30">
      <w:r w:rsidRPr="00873F30">
        <w:rPr>
          <w:b/>
        </w:rPr>
        <w:t>Plus de la moitié (55 %) des Français déclarent épargner en vue de la retraite dont 16 % régulièrement.</w:t>
      </w:r>
      <w:r w:rsidRPr="00873F30">
        <w:t xml:space="preserve"> En 2015, ils étaient 57 % à déclarer épargner en vue de la retraite. L’actualité moins dense sur le thème de la retraite peut expliquer ce tassement. Les revenus aisés épargnent le plus, de manière assez logique, en vue de la retraite (68 %).</w:t>
      </w:r>
    </w:p>
    <w:p w:rsidR="00873F30" w:rsidRDefault="00873F30" w:rsidP="00873F30"/>
    <w:p w:rsidR="00873F30" w:rsidRDefault="00873F30" w:rsidP="00873F30"/>
    <w:p w:rsidR="00873F30" w:rsidRPr="00BC687B" w:rsidRDefault="00873F30" w:rsidP="00873F30">
      <w:pPr>
        <w:pStyle w:val="Paragraphedeliste"/>
        <w:numPr>
          <w:ilvl w:val="0"/>
          <w:numId w:val="3"/>
        </w:numPr>
        <w:pBdr>
          <w:bottom w:val="single" w:sz="4" w:space="1" w:color="auto"/>
        </w:pBdr>
        <w:rPr>
          <w:b/>
          <w:color w:val="E81C23"/>
        </w:rPr>
      </w:pPr>
      <w:r w:rsidRPr="00BC687B">
        <w:rPr>
          <w:b/>
          <w:color w:val="E81C23"/>
        </w:rPr>
        <w:lastRenderedPageBreak/>
        <w:t xml:space="preserve">LES FRANÇAIS FACE </w:t>
      </w:r>
      <w:r w:rsidR="00B166B5" w:rsidRPr="00BC687B">
        <w:rPr>
          <w:b/>
          <w:color w:val="E81C23"/>
        </w:rPr>
        <w:t>À</w:t>
      </w:r>
      <w:r w:rsidRPr="00BC687B">
        <w:rPr>
          <w:b/>
          <w:color w:val="E81C23"/>
        </w:rPr>
        <w:t xml:space="preserve"> LEUR </w:t>
      </w:r>
      <w:r w:rsidR="00B166B5">
        <w:rPr>
          <w:b/>
          <w:color w:val="E81C23"/>
        </w:rPr>
        <w:t>É</w:t>
      </w:r>
      <w:r w:rsidRPr="00BC687B">
        <w:rPr>
          <w:b/>
          <w:color w:val="E81C23"/>
        </w:rPr>
        <w:t>PARGNE !</w:t>
      </w:r>
    </w:p>
    <w:p w:rsidR="00873F30" w:rsidRDefault="00873F30" w:rsidP="00873F30"/>
    <w:p w:rsidR="00873F30" w:rsidRPr="000B2E97" w:rsidRDefault="00873F30" w:rsidP="00873F30">
      <w:pPr>
        <w:pStyle w:val="Paragraphedeliste"/>
        <w:numPr>
          <w:ilvl w:val="0"/>
          <w:numId w:val="4"/>
        </w:numPr>
        <w:rPr>
          <w:b/>
        </w:rPr>
      </w:pPr>
      <w:r w:rsidRPr="000B2E97">
        <w:rPr>
          <w:b/>
        </w:rPr>
        <w:t>Le rendement de l’épargne est attendu stable pour 2016</w:t>
      </w:r>
    </w:p>
    <w:p w:rsidR="00873F30" w:rsidRDefault="00873F30" w:rsidP="00873F30"/>
    <w:p w:rsidR="00873F30" w:rsidRDefault="00873F30" w:rsidP="00873F30">
      <w:r w:rsidRPr="002E0EFE">
        <w:rPr>
          <w:b/>
        </w:rPr>
        <w:t xml:space="preserve">45 % des Français anticipent une stagnation des rendements de l’épargne en 2016 </w:t>
      </w:r>
      <w:r>
        <w:t xml:space="preserve">contre 11 % qui prévoient une hausse. 44 % considèrent, de leur côté qu’une baisse est incontournable. </w:t>
      </w:r>
    </w:p>
    <w:p w:rsidR="00873F30" w:rsidRDefault="00873F30" w:rsidP="00873F30"/>
    <w:p w:rsidR="00873F30" w:rsidRPr="000B2E97" w:rsidRDefault="00873F30" w:rsidP="00873F30">
      <w:pPr>
        <w:pStyle w:val="Paragraphedeliste"/>
        <w:numPr>
          <w:ilvl w:val="0"/>
          <w:numId w:val="4"/>
        </w:numPr>
        <w:rPr>
          <w:b/>
        </w:rPr>
      </w:pPr>
      <w:r w:rsidRPr="000B2E97">
        <w:rPr>
          <w:b/>
        </w:rPr>
        <w:t>La prise de risque pour avoir du rendement</w:t>
      </w:r>
      <w:r w:rsidR="00BC687B">
        <w:rPr>
          <w:b/>
        </w:rPr>
        <w:t xml:space="preserve"> est</w:t>
      </w:r>
      <w:r w:rsidRPr="000B2E97">
        <w:rPr>
          <w:b/>
        </w:rPr>
        <w:t xml:space="preserve"> de plus en plus acceptée par les épargnants </w:t>
      </w:r>
    </w:p>
    <w:p w:rsidR="00873F30" w:rsidRDefault="00873F30" w:rsidP="00873F30"/>
    <w:p w:rsidR="00873F30" w:rsidRDefault="00873F30" w:rsidP="00873F30">
      <w:r w:rsidRPr="002E0EFE">
        <w:rPr>
          <w:b/>
        </w:rPr>
        <w:t>55 % des épargnants jugent normal que les placem</w:t>
      </w:r>
      <w:r>
        <w:rPr>
          <w:b/>
        </w:rPr>
        <w:t>ents financiers évoluent vers un</w:t>
      </w:r>
      <w:r w:rsidRPr="002E0EFE">
        <w:rPr>
          <w:b/>
        </w:rPr>
        <w:t xml:space="preserve"> peu plus de risques pour permettre un meilleur rendement</w:t>
      </w:r>
      <w:r>
        <w:t xml:space="preserve">. En revanche, les non-épargnants sont à 67 % opposés à cette tendance. Les catégories sociales traditionnellement épargnantes sont les plus favorables à la prise de risques (72 % chez les cadres supérieurs). </w:t>
      </w:r>
    </w:p>
    <w:p w:rsidR="00873F30" w:rsidRDefault="00873F30" w:rsidP="00873F30"/>
    <w:p w:rsidR="00873F30" w:rsidRPr="000B2E97" w:rsidRDefault="00873F30" w:rsidP="00873F30">
      <w:pPr>
        <w:pStyle w:val="Paragraphedeliste"/>
        <w:numPr>
          <w:ilvl w:val="0"/>
          <w:numId w:val="4"/>
        </w:numPr>
        <w:rPr>
          <w:b/>
        </w:rPr>
      </w:pPr>
      <w:r w:rsidRPr="000B2E97">
        <w:rPr>
          <w:b/>
        </w:rPr>
        <w:t>La pierre et l’assurance-vie</w:t>
      </w:r>
      <w:r w:rsidR="00C674EA">
        <w:rPr>
          <w:b/>
        </w:rPr>
        <w:t>,</w:t>
      </w:r>
      <w:r w:rsidRPr="000B2E97">
        <w:rPr>
          <w:b/>
        </w:rPr>
        <w:t xml:space="preserve"> les deux placements préférés des Français </w:t>
      </w:r>
    </w:p>
    <w:p w:rsidR="00873F30" w:rsidRDefault="00873F30" w:rsidP="00873F30"/>
    <w:p w:rsidR="00873F30" w:rsidRPr="002E0EFE" w:rsidRDefault="00873F30" w:rsidP="00873F30">
      <w:pPr>
        <w:rPr>
          <w:b/>
        </w:rPr>
      </w:pPr>
      <w:r>
        <w:t>Sans surprise, les Français restent attachés aux valeurs sûr</w:t>
      </w:r>
      <w:r w:rsidR="00BC687B">
        <w:t>e</w:t>
      </w:r>
      <w:r>
        <w:t xml:space="preserve">s que sont la pierre (65 % des sondés considèrent ce placement intéressant) et l’assurance-vie (62 %). </w:t>
      </w:r>
      <w:r w:rsidRPr="002E0EFE">
        <w:rPr>
          <w:b/>
        </w:rPr>
        <w:t xml:space="preserve">Les contrats d’assurance-vie sont plébiscités par ceux qui en ont un. 84 % des titulaires d’un tel contrat jugent l’assurance-vie intéressante. </w:t>
      </w:r>
    </w:p>
    <w:p w:rsidR="00873F30" w:rsidRDefault="00873F30" w:rsidP="00873F30"/>
    <w:p w:rsidR="00873F30" w:rsidRPr="00312EB0" w:rsidRDefault="00873F30" w:rsidP="00873F30">
      <w:r w:rsidRPr="00312EB0">
        <w:t>46 % des personnes sondé</w:t>
      </w:r>
      <w:r w:rsidR="00BC687B">
        <w:t>e</w:t>
      </w:r>
      <w:r w:rsidRPr="00312EB0">
        <w:t xml:space="preserve">s privilégient les contrats multi-supports associant fonds euros et unités de compte. </w:t>
      </w:r>
      <w:r w:rsidR="00C674EA" w:rsidRPr="007D5752">
        <w:t>Ils sont néanmoins 42 % à préférer le fonds euros au ris</w:t>
      </w:r>
      <w:r w:rsidR="00C674EA">
        <w:t>que d’avoir un faible rendement</w:t>
      </w:r>
      <w:r w:rsidRPr="00312EB0">
        <w:t xml:space="preserve">. En revanche, le côté « tout unités de compte » ne retient l’intérêt que de 12 % des sondés. Les </w:t>
      </w:r>
      <w:r w:rsidR="00BC687B">
        <w:t>unités de comptes</w:t>
      </w:r>
      <w:r w:rsidRPr="00312EB0">
        <w:t xml:space="preserve"> pures sont privilégiées un peu plus chez les 18-24 ans (15 %) et chez les jeunes actifs (25-34 ans).</w:t>
      </w:r>
    </w:p>
    <w:p w:rsidR="00BC687B" w:rsidRDefault="00BC687B" w:rsidP="00BC687B">
      <w:pPr>
        <w:spacing w:after="160" w:line="259" w:lineRule="auto"/>
        <w:jc w:val="left"/>
        <w:rPr>
          <w:rFonts w:cs="Arial"/>
          <w:i/>
          <w:color w:val="E71C23"/>
          <w:spacing w:val="-2"/>
        </w:rPr>
      </w:pPr>
    </w:p>
    <w:p w:rsidR="005530EA" w:rsidRPr="00BC687B" w:rsidRDefault="005530EA" w:rsidP="009E6AFA">
      <w:pPr>
        <w:spacing w:after="160" w:line="259" w:lineRule="auto"/>
        <w:rPr>
          <w:rFonts w:cs="Arial"/>
          <w:i/>
          <w:spacing w:val="-2"/>
        </w:rPr>
      </w:pPr>
      <w:r w:rsidRPr="00BC687B">
        <w:rPr>
          <w:rFonts w:cs="Arial"/>
          <w:i/>
          <w:color w:val="E71C23"/>
          <w:spacing w:val="-2"/>
        </w:rPr>
        <w:t>*</w:t>
      </w:r>
      <w:r w:rsidRPr="00BC687B">
        <w:rPr>
          <w:rFonts w:cs="Arial"/>
          <w:i/>
          <w:spacing w:val="-2"/>
        </w:rPr>
        <w:t xml:space="preserve"> À la demande du Cercle de l’Épargne, le Centre </w:t>
      </w:r>
      <w:r w:rsidR="00AB0CA4" w:rsidRPr="00BC687B">
        <w:rPr>
          <w:rFonts w:cs="Arial"/>
          <w:i/>
          <w:spacing w:val="-2"/>
        </w:rPr>
        <w:t>d’</w:t>
      </w:r>
      <w:r w:rsidR="00BC687B" w:rsidRPr="00BC687B">
        <w:rPr>
          <w:rFonts w:cs="Arial"/>
          <w:i/>
          <w:spacing w:val="-2"/>
        </w:rPr>
        <w:t>é</w:t>
      </w:r>
      <w:r w:rsidR="00AB0CA4" w:rsidRPr="00BC687B">
        <w:rPr>
          <w:rFonts w:cs="Arial"/>
          <w:i/>
          <w:spacing w:val="-2"/>
        </w:rPr>
        <w:t xml:space="preserve">tudes </w:t>
      </w:r>
      <w:r w:rsidRPr="00BC687B">
        <w:rPr>
          <w:rFonts w:cs="Arial"/>
          <w:i/>
          <w:spacing w:val="-2"/>
        </w:rPr>
        <w:t xml:space="preserve">et de </w:t>
      </w:r>
      <w:r w:rsidR="00BC687B" w:rsidRPr="00BC687B">
        <w:rPr>
          <w:rFonts w:cs="Arial"/>
          <w:i/>
          <w:spacing w:val="-2"/>
        </w:rPr>
        <w:t>c</w:t>
      </w:r>
      <w:r w:rsidR="00AB0CA4" w:rsidRPr="00BC687B">
        <w:rPr>
          <w:rFonts w:cs="Arial"/>
          <w:i/>
          <w:spacing w:val="-2"/>
        </w:rPr>
        <w:t xml:space="preserve">onnaissances </w:t>
      </w:r>
      <w:r w:rsidRPr="00BC687B">
        <w:rPr>
          <w:rFonts w:cs="Arial"/>
          <w:i/>
          <w:spacing w:val="-2"/>
        </w:rPr>
        <w:t>sur l’</w:t>
      </w:r>
      <w:r w:rsidR="00BC687B" w:rsidRPr="00BC687B">
        <w:rPr>
          <w:rFonts w:cs="Arial"/>
          <w:i/>
          <w:spacing w:val="-2"/>
        </w:rPr>
        <w:t>o</w:t>
      </w:r>
      <w:r w:rsidRPr="00BC687B">
        <w:rPr>
          <w:rFonts w:cs="Arial"/>
          <w:i/>
          <w:spacing w:val="-2"/>
        </w:rPr>
        <w:t xml:space="preserve">pinion </w:t>
      </w:r>
      <w:r w:rsidR="00BC687B" w:rsidRPr="00BC687B">
        <w:rPr>
          <w:rFonts w:cs="Arial"/>
          <w:i/>
          <w:spacing w:val="-2"/>
        </w:rPr>
        <w:t>p</w:t>
      </w:r>
      <w:r w:rsidRPr="00BC687B">
        <w:rPr>
          <w:rFonts w:cs="Arial"/>
          <w:i/>
          <w:spacing w:val="-2"/>
        </w:rPr>
        <w:t xml:space="preserve">ublique (CECOP) a conduit une étude sur les Français, la retraite et l’épargne. </w:t>
      </w:r>
    </w:p>
    <w:p w:rsidR="005530EA" w:rsidRPr="00BC687B" w:rsidRDefault="005530EA" w:rsidP="005530EA">
      <w:pPr>
        <w:rPr>
          <w:rFonts w:cs="Arial"/>
          <w:i/>
          <w:spacing w:val="-2"/>
        </w:rPr>
      </w:pPr>
    </w:p>
    <w:p w:rsidR="00BC687B" w:rsidRDefault="005530EA" w:rsidP="005530EA">
      <w:pPr>
        <w:rPr>
          <w:rFonts w:cs="Arial"/>
          <w:i/>
          <w:spacing w:val="-2"/>
        </w:rPr>
      </w:pPr>
      <w:r w:rsidRPr="00BC687B">
        <w:rPr>
          <w:rFonts w:cs="Arial"/>
          <w:i/>
          <w:spacing w:val="-2"/>
        </w:rPr>
        <w:t>L’enquête a été réalisée sur Internet du 19 au 22 avril 2016 auprès d’un échantillon de 1 003 personnes représentatif de la population française âgée de 18 ans et plus, constitué d’après la méthode des quotas (sexe, âge, profession de la personne interrogée) après stratification par région et catégorie d’agglomération. Le terrain d’enquête a été confié à l’I</w:t>
      </w:r>
      <w:r w:rsidR="00BC687B" w:rsidRPr="00BC687B">
        <w:rPr>
          <w:rFonts w:cs="Arial"/>
          <w:i/>
          <w:spacing w:val="-2"/>
        </w:rPr>
        <w:t>nstitut français d’opinion politique (I</w:t>
      </w:r>
      <w:r w:rsidRPr="00BC687B">
        <w:rPr>
          <w:rFonts w:cs="Arial"/>
          <w:i/>
          <w:spacing w:val="-2"/>
        </w:rPr>
        <w:t>FOP</w:t>
      </w:r>
      <w:r w:rsidR="00BC687B" w:rsidRPr="00BC687B">
        <w:rPr>
          <w:rFonts w:cs="Arial"/>
          <w:i/>
          <w:spacing w:val="-2"/>
        </w:rPr>
        <w:t>)</w:t>
      </w:r>
      <w:r w:rsidRPr="00BC687B">
        <w:rPr>
          <w:rFonts w:cs="Arial"/>
          <w:i/>
          <w:spacing w:val="-2"/>
        </w:rPr>
        <w:t>.</w:t>
      </w:r>
    </w:p>
    <w:p w:rsidR="00BC687B" w:rsidRDefault="00BC687B">
      <w:pPr>
        <w:spacing w:after="160" w:line="259" w:lineRule="auto"/>
        <w:jc w:val="left"/>
        <w:rPr>
          <w:rFonts w:cs="Arial"/>
          <w:i/>
          <w:spacing w:val="-2"/>
        </w:rPr>
      </w:pPr>
      <w:r>
        <w:rPr>
          <w:rFonts w:cs="Arial"/>
          <w:i/>
          <w:spacing w:val="-2"/>
        </w:rPr>
        <w:br w:type="page"/>
      </w:r>
    </w:p>
    <w:p w:rsidR="005530EA" w:rsidRPr="00BC687B" w:rsidRDefault="005530EA" w:rsidP="005530EA">
      <w:pPr>
        <w:rPr>
          <w:rFonts w:cs="Arial"/>
          <w:spacing w:val="-2"/>
        </w:rPr>
      </w:pPr>
    </w:p>
    <w:p w:rsidR="005530EA" w:rsidRPr="00BC687B" w:rsidRDefault="005530EA" w:rsidP="005530EA">
      <w:pPr>
        <w:rPr>
          <w:rStyle w:val="Lienhypertexte"/>
          <w:rFonts w:cs="Arial"/>
          <w:spacing w:val="-2"/>
        </w:rPr>
      </w:pPr>
      <w:r w:rsidRPr="00BC687B">
        <w:rPr>
          <w:rFonts w:cs="Arial"/>
          <w:b/>
          <w:color w:val="E81C23"/>
          <w:spacing w:val="-2"/>
        </w:rPr>
        <w:t xml:space="preserve">Tous les résultats de l’enquête sont sur le site du Cercle : </w:t>
      </w:r>
      <w:r w:rsidRPr="00BC687B">
        <w:rPr>
          <w:color w:val="E81D23"/>
          <w:spacing w:val="-2"/>
        </w:rPr>
        <w:fldChar w:fldCharType="begin"/>
      </w:r>
      <w:r w:rsidR="00BC687B">
        <w:rPr>
          <w:color w:val="E81D23"/>
          <w:spacing w:val="-2"/>
        </w:rPr>
        <w:instrText>HYPERLINK "http://www.cercledelepargne.com/"</w:instrText>
      </w:r>
      <w:r w:rsidRPr="00BC687B">
        <w:rPr>
          <w:color w:val="E81D23"/>
          <w:spacing w:val="-2"/>
        </w:rPr>
        <w:fldChar w:fldCharType="separate"/>
      </w:r>
      <w:r w:rsidRPr="00BC687B">
        <w:rPr>
          <w:rStyle w:val="Lienhypertexte"/>
          <w:spacing w:val="-2"/>
        </w:rPr>
        <w:t>www.cercledelepargne.com</w:t>
      </w:r>
    </w:p>
    <w:p w:rsidR="005530EA" w:rsidRDefault="005530EA" w:rsidP="005530EA">
      <w:pPr>
        <w:rPr>
          <w:color w:val="E81D23"/>
          <w:spacing w:val="-2"/>
        </w:rPr>
      </w:pPr>
      <w:r w:rsidRPr="00BC687B">
        <w:rPr>
          <w:color w:val="E81D23"/>
          <w:spacing w:val="-2"/>
        </w:rPr>
        <w:fldChar w:fldCharType="end"/>
      </w:r>
    </w:p>
    <w:p w:rsidR="00BC687B" w:rsidRDefault="00BC687B" w:rsidP="005530EA">
      <w:pPr>
        <w:rPr>
          <w:color w:val="E81D23"/>
          <w:spacing w:val="-2"/>
        </w:rPr>
      </w:pPr>
    </w:p>
    <w:p w:rsidR="00BC687B" w:rsidRPr="00BC687B" w:rsidRDefault="00BC687B" w:rsidP="005530EA">
      <w:pPr>
        <w:rPr>
          <w:rFonts w:cs="Arial"/>
          <w:spacing w:val="-2"/>
          <w:sz w:val="22"/>
        </w:rPr>
      </w:pPr>
    </w:p>
    <w:p w:rsidR="005530EA" w:rsidRPr="00BC687B" w:rsidRDefault="005530EA" w:rsidP="005530EA">
      <w:pPr>
        <w:pBdr>
          <w:top w:val="single" w:sz="4" w:space="12" w:color="auto"/>
          <w:left w:val="single" w:sz="4" w:space="4" w:color="auto"/>
          <w:bottom w:val="single" w:sz="4" w:space="1" w:color="auto"/>
          <w:right w:val="single" w:sz="4" w:space="4" w:color="auto"/>
        </w:pBdr>
        <w:rPr>
          <w:rFonts w:cs="Arial"/>
          <w:spacing w:val="-2"/>
        </w:rPr>
      </w:pPr>
      <w:r w:rsidRPr="00BC687B">
        <w:rPr>
          <w:rFonts w:cs="Arial"/>
          <w:spacing w:val="-2"/>
        </w:rPr>
        <w:t xml:space="preserve">Le Cercle de l’Épargne est un centre d’études et d’information présidé par Jean-Pierre Thomas et animé par Philippe Crevel. AG2R LA MONDIALE est partenaire du Cercle de l’Épargne. </w:t>
      </w:r>
    </w:p>
    <w:p w:rsidR="005530EA" w:rsidRPr="00BC687B" w:rsidRDefault="005530EA" w:rsidP="005530EA">
      <w:pPr>
        <w:pBdr>
          <w:top w:val="single" w:sz="4" w:space="12" w:color="auto"/>
          <w:left w:val="single" w:sz="4" w:space="4" w:color="auto"/>
          <w:bottom w:val="single" w:sz="4" w:space="1" w:color="auto"/>
          <w:right w:val="single" w:sz="4" w:space="4" w:color="auto"/>
        </w:pBdr>
        <w:rPr>
          <w:rFonts w:cs="Arial"/>
          <w:spacing w:val="-2"/>
        </w:rPr>
      </w:pPr>
    </w:p>
    <w:p w:rsidR="005530EA" w:rsidRPr="00BC687B" w:rsidRDefault="005530EA" w:rsidP="005530EA">
      <w:pPr>
        <w:pBdr>
          <w:top w:val="single" w:sz="4" w:space="12" w:color="auto"/>
          <w:left w:val="single" w:sz="4" w:space="4" w:color="auto"/>
          <w:bottom w:val="single" w:sz="4" w:space="1" w:color="auto"/>
          <w:right w:val="single" w:sz="4" w:space="4" w:color="auto"/>
        </w:pBdr>
        <w:rPr>
          <w:rFonts w:cs="Arial"/>
          <w:spacing w:val="-2"/>
        </w:rPr>
      </w:pPr>
      <w:r w:rsidRPr="00BC687B">
        <w:rPr>
          <w:rFonts w:cs="Arial"/>
          <w:spacing w:val="-2"/>
        </w:rPr>
        <w:t xml:space="preserve">Le Cercle a pour objet la réalisation d’études et de propositions sur toutes les questions concernant l’épargne, la retraite et la prévoyance. Il entend contribuer au débat public sur ces sujets. </w:t>
      </w:r>
    </w:p>
    <w:p w:rsidR="005530EA" w:rsidRPr="00BC687B" w:rsidRDefault="005530EA" w:rsidP="005530EA">
      <w:pPr>
        <w:pBdr>
          <w:top w:val="single" w:sz="4" w:space="12" w:color="auto"/>
          <w:left w:val="single" w:sz="4" w:space="4" w:color="auto"/>
          <w:bottom w:val="single" w:sz="4" w:space="1" w:color="auto"/>
          <w:right w:val="single" w:sz="4" w:space="4" w:color="auto"/>
        </w:pBdr>
        <w:rPr>
          <w:rFonts w:cs="Arial"/>
          <w:spacing w:val="-2"/>
        </w:rPr>
      </w:pPr>
    </w:p>
    <w:p w:rsidR="00BC687B" w:rsidRPr="00BC687B" w:rsidRDefault="00BC687B" w:rsidP="00BC687B">
      <w:pPr>
        <w:pBdr>
          <w:top w:val="single" w:sz="4" w:space="12" w:color="auto"/>
          <w:left w:val="single" w:sz="4" w:space="4" w:color="auto"/>
          <w:bottom w:val="single" w:sz="4" w:space="1" w:color="auto"/>
          <w:right w:val="single" w:sz="4" w:space="4" w:color="auto"/>
        </w:pBdr>
        <w:rPr>
          <w:rFonts w:cs="Arial"/>
          <w:spacing w:val="-2"/>
          <w:sz w:val="16"/>
        </w:rPr>
      </w:pPr>
      <w:r w:rsidRPr="00BC687B">
        <w:rPr>
          <w:rFonts w:cs="Arial"/>
          <w:spacing w:val="-2"/>
        </w:rPr>
        <w:t xml:space="preserve">Pour mener à bien sa mission le Cercle est doté d’un Conseil Scientifique auquel participent des experts reconnus en matière économique, sociale, démographique, juridique, financière et d’étude de l’opinion. Le conseil scientifique du Cercle comprend </w:t>
      </w:r>
      <w:r w:rsidRPr="00BC687B">
        <w:rPr>
          <w:rStyle w:val="lev"/>
          <w:rFonts w:cs="Arial"/>
          <w:spacing w:val="-2"/>
          <w:szCs w:val="23"/>
          <w:shd w:val="clear" w:color="auto" w:fill="FFFFFF"/>
        </w:rPr>
        <w:t>Robert Baconnier</w:t>
      </w:r>
      <w:r w:rsidRPr="00BC687B">
        <w:rPr>
          <w:rFonts w:cs="Arial"/>
          <w:spacing w:val="-2"/>
          <w:szCs w:val="23"/>
          <w:shd w:val="clear" w:color="auto" w:fill="FFFFFF"/>
        </w:rPr>
        <w:t>, ancien Directeur général des impôts et ancien Président de l’Association Nationale des Sociétés par Actions (ANSA)</w:t>
      </w:r>
      <w:r w:rsidRPr="00BC687B">
        <w:rPr>
          <w:rFonts w:cs="Arial"/>
          <w:color w:val="FF0000"/>
          <w:spacing w:val="-2"/>
          <w:szCs w:val="23"/>
          <w:shd w:val="clear" w:color="auto" w:fill="FFFFFF"/>
        </w:rPr>
        <w:t> </w:t>
      </w:r>
      <w:r w:rsidRPr="00BC687B">
        <w:rPr>
          <w:rFonts w:cs="Arial"/>
          <w:spacing w:val="-2"/>
          <w:szCs w:val="23"/>
          <w:shd w:val="clear" w:color="auto" w:fill="FFFFFF"/>
        </w:rPr>
        <w:t xml:space="preserve">; </w:t>
      </w:r>
      <w:r w:rsidRPr="00BC687B">
        <w:rPr>
          <w:rStyle w:val="lev"/>
          <w:rFonts w:cs="Arial"/>
          <w:spacing w:val="-2"/>
          <w:szCs w:val="23"/>
          <w:shd w:val="clear" w:color="auto" w:fill="FFFFFF"/>
        </w:rPr>
        <w:t>Jacques Barthélémy</w:t>
      </w:r>
      <w:r w:rsidRPr="00BC687B">
        <w:rPr>
          <w:rFonts w:cs="Arial"/>
          <w:spacing w:val="-2"/>
          <w:szCs w:val="23"/>
          <w:shd w:val="clear" w:color="auto" w:fill="FFFFFF"/>
        </w:rPr>
        <w:t>, avocat conseil en droit social et ancien professeur associé à la faculté de droit de Montpellier ;</w:t>
      </w:r>
      <w:r w:rsidRPr="00BC687B">
        <w:rPr>
          <w:rStyle w:val="apple-converted-space"/>
          <w:rFonts w:cs="Arial"/>
          <w:spacing w:val="-2"/>
          <w:szCs w:val="23"/>
          <w:shd w:val="clear" w:color="auto" w:fill="FFFFFF"/>
        </w:rPr>
        <w:t> </w:t>
      </w:r>
      <w:r w:rsidRPr="00BC687B">
        <w:rPr>
          <w:rStyle w:val="lev"/>
          <w:rFonts w:cs="Arial"/>
          <w:spacing w:val="-2"/>
          <w:szCs w:val="23"/>
          <w:shd w:val="clear" w:color="auto" w:fill="FFFFFF"/>
        </w:rPr>
        <w:t>Philippe Brossard</w:t>
      </w:r>
      <w:r w:rsidRPr="00BC687B">
        <w:rPr>
          <w:rFonts w:cs="Arial"/>
          <w:spacing w:val="-2"/>
          <w:szCs w:val="23"/>
          <w:shd w:val="clear" w:color="auto" w:fill="FFFFFF"/>
        </w:rPr>
        <w:t>, chef économiste d’AG2R LA MONDIALE ;</w:t>
      </w:r>
      <w:r w:rsidRPr="00BC687B">
        <w:rPr>
          <w:rStyle w:val="apple-converted-space"/>
          <w:rFonts w:cs="Arial"/>
          <w:spacing w:val="-2"/>
          <w:szCs w:val="23"/>
          <w:shd w:val="clear" w:color="auto" w:fill="FFFFFF"/>
        </w:rPr>
        <w:t> </w:t>
      </w:r>
      <w:r w:rsidRPr="00BC687B">
        <w:rPr>
          <w:rStyle w:val="lev"/>
          <w:rFonts w:cs="Arial"/>
          <w:spacing w:val="-2"/>
          <w:szCs w:val="23"/>
          <w:shd w:val="clear" w:color="auto" w:fill="FFFFFF"/>
        </w:rPr>
        <w:t>Jean-Marie Colombani</w:t>
      </w:r>
      <w:r w:rsidRPr="00BC687B">
        <w:rPr>
          <w:rFonts w:cs="Arial"/>
          <w:spacing w:val="-2"/>
          <w:szCs w:val="23"/>
          <w:shd w:val="clear" w:color="auto" w:fill="FFFFFF"/>
        </w:rPr>
        <w:t>, ancien Directeur du Monde et fondateur de Slate.fr ;</w:t>
      </w:r>
      <w:r w:rsidRPr="00BC687B">
        <w:rPr>
          <w:rStyle w:val="apple-converted-space"/>
          <w:rFonts w:cs="Arial"/>
          <w:spacing w:val="-2"/>
          <w:szCs w:val="23"/>
          <w:shd w:val="clear" w:color="auto" w:fill="FFFFFF"/>
        </w:rPr>
        <w:t> </w:t>
      </w:r>
      <w:r w:rsidRPr="00BC687B">
        <w:rPr>
          <w:rStyle w:val="lev"/>
          <w:rFonts w:cs="Arial"/>
          <w:spacing w:val="-2"/>
          <w:szCs w:val="23"/>
          <w:shd w:val="clear" w:color="auto" w:fill="FFFFFF"/>
        </w:rPr>
        <w:t>Jean-Paul Fitoussi</w:t>
      </w:r>
      <w:r w:rsidRPr="00BC687B">
        <w:rPr>
          <w:rFonts w:cs="Arial"/>
          <w:spacing w:val="-2"/>
          <w:szCs w:val="23"/>
          <w:shd w:val="clear" w:color="auto" w:fill="FFFFFF"/>
        </w:rPr>
        <w:t>, professeur des universités à Sciences-Po Paris ;</w:t>
      </w:r>
      <w:r w:rsidRPr="00BC687B">
        <w:rPr>
          <w:rStyle w:val="apple-converted-space"/>
          <w:rFonts w:cs="Arial"/>
          <w:spacing w:val="-2"/>
          <w:szCs w:val="23"/>
          <w:shd w:val="clear" w:color="auto" w:fill="FFFFFF"/>
        </w:rPr>
        <w:t> </w:t>
      </w:r>
      <w:r w:rsidRPr="00BC687B">
        <w:rPr>
          <w:rStyle w:val="lev"/>
          <w:rFonts w:cs="Arial"/>
          <w:spacing w:val="-2"/>
          <w:szCs w:val="23"/>
          <w:shd w:val="clear" w:color="auto" w:fill="FFFFFF"/>
        </w:rPr>
        <w:t>Jean-Pierre Gaillard</w:t>
      </w:r>
      <w:r w:rsidRPr="00BC687B">
        <w:rPr>
          <w:rFonts w:cs="Arial"/>
          <w:spacing w:val="-2"/>
          <w:szCs w:val="23"/>
          <w:shd w:val="clear" w:color="auto" w:fill="FFFFFF"/>
        </w:rPr>
        <w:t>, journaliste et chroniqueur boursier ;</w:t>
      </w:r>
      <w:r w:rsidRPr="00BC687B">
        <w:rPr>
          <w:rStyle w:val="apple-converted-space"/>
          <w:rFonts w:cs="Arial"/>
          <w:spacing w:val="-2"/>
          <w:szCs w:val="23"/>
          <w:shd w:val="clear" w:color="auto" w:fill="FFFFFF"/>
        </w:rPr>
        <w:t> </w:t>
      </w:r>
      <w:r w:rsidRPr="00BC687B">
        <w:rPr>
          <w:rStyle w:val="lev"/>
          <w:rFonts w:cs="Arial"/>
          <w:spacing w:val="-2"/>
          <w:szCs w:val="23"/>
          <w:shd w:val="clear" w:color="auto" w:fill="FFFFFF"/>
        </w:rPr>
        <w:t>Christian Gollier</w:t>
      </w:r>
      <w:r w:rsidRPr="00BC687B">
        <w:rPr>
          <w:rFonts w:cs="Arial"/>
          <w:spacing w:val="-2"/>
          <w:szCs w:val="23"/>
          <w:shd w:val="clear" w:color="auto" w:fill="FFFFFF"/>
        </w:rPr>
        <w:t>, Directeur de la Fondation Jean-Jacques Laffont – Toulouse Sciences Économiques, membre du Laboratoire d'Économie des Ressources Naturelles (LERNA) et Directeur de recherche à l’Institut d'Économie Industrielle (IDEI) à Toulouse ;</w:t>
      </w:r>
      <w:r w:rsidRPr="00BC687B">
        <w:rPr>
          <w:rStyle w:val="apple-converted-space"/>
          <w:rFonts w:cs="Arial"/>
          <w:spacing w:val="-2"/>
          <w:szCs w:val="23"/>
          <w:shd w:val="clear" w:color="auto" w:fill="FFFFFF"/>
        </w:rPr>
        <w:t> </w:t>
      </w:r>
      <w:r w:rsidRPr="00BC687B">
        <w:rPr>
          <w:rStyle w:val="lev"/>
          <w:rFonts w:cs="Arial"/>
          <w:spacing w:val="-2"/>
          <w:szCs w:val="23"/>
          <w:shd w:val="clear" w:color="auto" w:fill="FFFFFF"/>
        </w:rPr>
        <w:t>François Héran</w:t>
      </w:r>
      <w:r w:rsidRPr="00BC687B">
        <w:rPr>
          <w:rFonts w:cs="Arial"/>
          <w:spacing w:val="-2"/>
          <w:szCs w:val="23"/>
          <w:shd w:val="clear" w:color="auto" w:fill="FFFFFF"/>
        </w:rPr>
        <w:t xml:space="preserve">, ancien Directeur de l'Institut national d’études démographiques (Ined) et Directeur du département des sciences humaines et sociales de l’Agence </w:t>
      </w:r>
      <w:r w:rsidR="00C674EA">
        <w:rPr>
          <w:rFonts w:cs="Arial"/>
          <w:spacing w:val="-2"/>
          <w:szCs w:val="23"/>
          <w:shd w:val="clear" w:color="auto" w:fill="FFFFFF"/>
        </w:rPr>
        <w:t>N</w:t>
      </w:r>
      <w:r w:rsidRPr="00BC687B">
        <w:rPr>
          <w:rFonts w:cs="Arial"/>
          <w:spacing w:val="-2"/>
          <w:szCs w:val="23"/>
          <w:shd w:val="clear" w:color="auto" w:fill="FFFFFF"/>
        </w:rPr>
        <w:t xml:space="preserve">ationale de la </w:t>
      </w:r>
      <w:r w:rsidR="00C674EA">
        <w:rPr>
          <w:rFonts w:cs="Arial"/>
          <w:spacing w:val="-2"/>
          <w:szCs w:val="23"/>
          <w:shd w:val="clear" w:color="auto" w:fill="FFFFFF"/>
        </w:rPr>
        <w:t>R</w:t>
      </w:r>
      <w:r w:rsidRPr="00BC687B">
        <w:rPr>
          <w:rFonts w:cs="Arial"/>
          <w:spacing w:val="-2"/>
          <w:szCs w:val="23"/>
          <w:shd w:val="clear" w:color="auto" w:fill="FFFFFF"/>
        </w:rPr>
        <w:t>echerche (ANR);</w:t>
      </w:r>
      <w:r w:rsidRPr="00BC687B">
        <w:rPr>
          <w:rStyle w:val="apple-converted-space"/>
          <w:rFonts w:cs="Arial"/>
          <w:spacing w:val="-2"/>
          <w:szCs w:val="23"/>
          <w:shd w:val="clear" w:color="auto" w:fill="FFFFFF"/>
        </w:rPr>
        <w:t> </w:t>
      </w:r>
      <w:r w:rsidRPr="00BC687B">
        <w:rPr>
          <w:rStyle w:val="lev"/>
          <w:rFonts w:cs="Arial"/>
          <w:spacing w:val="-2"/>
          <w:szCs w:val="23"/>
          <w:shd w:val="clear" w:color="auto" w:fill="FFFFFF"/>
        </w:rPr>
        <w:t>Jérôme Jaffré</w:t>
      </w:r>
      <w:r w:rsidRPr="00BC687B">
        <w:rPr>
          <w:rFonts w:cs="Arial"/>
          <w:spacing w:val="-2"/>
          <w:szCs w:val="23"/>
          <w:shd w:val="clear" w:color="auto" w:fill="FFFFFF"/>
        </w:rPr>
        <w:t>, Directeur du Centre d’études et de connaissances sur l’opinion publique (CECOP) ;</w:t>
      </w:r>
      <w:r w:rsidRPr="00BC687B">
        <w:rPr>
          <w:rStyle w:val="apple-converted-space"/>
          <w:rFonts w:cs="Arial"/>
          <w:spacing w:val="-2"/>
          <w:szCs w:val="23"/>
          <w:shd w:val="clear" w:color="auto" w:fill="FFFFFF"/>
        </w:rPr>
        <w:t> </w:t>
      </w:r>
      <w:r w:rsidRPr="00BC687B">
        <w:rPr>
          <w:rStyle w:val="lev"/>
          <w:rFonts w:cs="Arial"/>
          <w:spacing w:val="-2"/>
          <w:szCs w:val="23"/>
          <w:shd w:val="clear" w:color="auto" w:fill="FFFFFF"/>
        </w:rPr>
        <w:t>Florence Legros</w:t>
      </w:r>
      <w:r w:rsidRPr="00BC687B">
        <w:rPr>
          <w:rFonts w:cs="Arial"/>
          <w:spacing w:val="-2"/>
          <w:szCs w:val="23"/>
          <w:shd w:val="clear" w:color="auto" w:fill="FFFFFF"/>
        </w:rPr>
        <w:t>, Directeur général de l’ICN Business School de Nancy ;</w:t>
      </w:r>
      <w:r w:rsidRPr="00BC687B">
        <w:rPr>
          <w:rStyle w:val="apple-converted-space"/>
          <w:rFonts w:cs="Arial"/>
          <w:spacing w:val="-2"/>
          <w:szCs w:val="23"/>
          <w:shd w:val="clear" w:color="auto" w:fill="FFFFFF"/>
        </w:rPr>
        <w:t> </w:t>
      </w:r>
      <w:r w:rsidRPr="00BC687B">
        <w:rPr>
          <w:rStyle w:val="lev"/>
          <w:rFonts w:cs="Arial"/>
          <w:spacing w:val="-2"/>
          <w:szCs w:val="23"/>
          <w:shd w:val="clear" w:color="auto" w:fill="FFFFFF"/>
        </w:rPr>
        <w:t>Jean-Marie Spaeth</w:t>
      </w:r>
      <w:r w:rsidRPr="00BC687B">
        <w:rPr>
          <w:rFonts w:cs="Arial"/>
          <w:spacing w:val="-2"/>
          <w:szCs w:val="23"/>
          <w:shd w:val="clear" w:color="auto" w:fill="FFFFFF"/>
        </w:rPr>
        <w:t xml:space="preserve">, Président honoraire de la </w:t>
      </w:r>
      <w:r w:rsidRPr="00BC687B">
        <w:rPr>
          <w:rFonts w:cs="Arial"/>
          <w:bCs/>
          <w:spacing w:val="-2"/>
          <w:szCs w:val="23"/>
          <w:shd w:val="clear" w:color="auto" w:fill="FFFFFF"/>
        </w:rPr>
        <w:t>Caisse nationale de l'assurance maladie des travailleurs salariés (</w:t>
      </w:r>
      <w:r w:rsidRPr="00BC687B">
        <w:rPr>
          <w:rFonts w:cs="Arial"/>
          <w:spacing w:val="-2"/>
          <w:szCs w:val="23"/>
          <w:shd w:val="clear" w:color="auto" w:fill="FFFFFF"/>
        </w:rPr>
        <w:t>Cnamts) et de l’École Nationale Supérieure de Sécurité Sociale (EN3S) et</w:t>
      </w:r>
      <w:r w:rsidRPr="00BC687B">
        <w:rPr>
          <w:rStyle w:val="apple-converted-space"/>
          <w:rFonts w:cs="Arial"/>
          <w:spacing w:val="-2"/>
          <w:szCs w:val="23"/>
          <w:shd w:val="clear" w:color="auto" w:fill="FFFFFF"/>
        </w:rPr>
        <w:t> </w:t>
      </w:r>
      <w:r w:rsidRPr="00BC687B">
        <w:rPr>
          <w:rStyle w:val="lev"/>
          <w:rFonts w:cs="Arial"/>
          <w:spacing w:val="-2"/>
          <w:szCs w:val="23"/>
          <w:shd w:val="clear" w:color="auto" w:fill="FFFFFF"/>
        </w:rPr>
        <w:t>Jean-Pierre Thomas</w:t>
      </w:r>
      <w:r w:rsidRPr="00BC687B">
        <w:rPr>
          <w:rFonts w:cs="Arial"/>
          <w:spacing w:val="-2"/>
          <w:szCs w:val="23"/>
          <w:shd w:val="clear" w:color="auto" w:fill="FFFFFF"/>
        </w:rPr>
        <w:t>, ancien député et Président de Thomas Vendôme Investment.</w:t>
      </w:r>
    </w:p>
    <w:p w:rsidR="00BC687B" w:rsidRPr="00BC687B" w:rsidRDefault="00BC687B" w:rsidP="00E925B7">
      <w:pPr>
        <w:jc w:val="center"/>
        <w:rPr>
          <w:rFonts w:cs="Arial"/>
          <w:b/>
          <w:spacing w:val="-2"/>
        </w:rPr>
      </w:pPr>
    </w:p>
    <w:p w:rsidR="00BC687B" w:rsidRDefault="00BC687B" w:rsidP="00E925B7">
      <w:pPr>
        <w:jc w:val="center"/>
        <w:rPr>
          <w:rFonts w:cs="Arial"/>
          <w:b/>
        </w:rPr>
      </w:pPr>
    </w:p>
    <w:p w:rsidR="005530EA" w:rsidRPr="007D5752" w:rsidRDefault="005530EA" w:rsidP="00E925B7">
      <w:pPr>
        <w:jc w:val="center"/>
        <w:rPr>
          <w:rFonts w:cs="Arial"/>
          <w:b/>
        </w:rPr>
      </w:pPr>
      <w:r w:rsidRPr="007D5752">
        <w:rPr>
          <w:rFonts w:cs="Arial"/>
          <w:b/>
        </w:rPr>
        <w:t>Contact</w:t>
      </w:r>
      <w:r w:rsidR="00B30FF9" w:rsidRPr="007D5752">
        <w:rPr>
          <w:rFonts w:cs="Arial"/>
          <w:b/>
        </w:rPr>
        <w:t>s</w:t>
      </w:r>
      <w:r w:rsidRPr="007D5752">
        <w:rPr>
          <w:rFonts w:cs="Arial"/>
          <w:b/>
        </w:rPr>
        <w:t xml:space="preserve"> presse :</w:t>
      </w:r>
    </w:p>
    <w:p w:rsidR="007D5752" w:rsidRDefault="007D5752" w:rsidP="00E925B7">
      <w:pPr>
        <w:jc w:val="center"/>
        <w:rPr>
          <w:rFonts w:cs="Arial"/>
          <w:b/>
          <w:sz w:val="14"/>
        </w:rPr>
      </w:pPr>
    </w:p>
    <w:p w:rsidR="00BC687B" w:rsidRDefault="00BC687B" w:rsidP="00E925B7">
      <w:pPr>
        <w:jc w:val="center"/>
        <w:rPr>
          <w:rFonts w:cs="Arial"/>
          <w:b/>
          <w:sz w:val="14"/>
        </w:rPr>
      </w:pPr>
    </w:p>
    <w:p w:rsidR="00BC687B" w:rsidRDefault="00BC687B" w:rsidP="00E925B7">
      <w:pPr>
        <w:jc w:val="center"/>
        <w:rPr>
          <w:rFonts w:cs="Arial"/>
          <w:b/>
          <w:sz w:val="14"/>
        </w:rPr>
      </w:pPr>
    </w:p>
    <w:p w:rsidR="00BC687B" w:rsidRDefault="00BC687B" w:rsidP="00E925B7">
      <w:pPr>
        <w:jc w:val="center"/>
        <w:rPr>
          <w:rFonts w:cs="Arial"/>
          <w:b/>
          <w:sz w:val="14"/>
        </w:rPr>
      </w:pPr>
    </w:p>
    <w:p w:rsidR="00BC687B" w:rsidRPr="00BC687B" w:rsidRDefault="00BC687B" w:rsidP="00E925B7">
      <w:pPr>
        <w:jc w:val="center"/>
        <w:rPr>
          <w:rFonts w:cs="Arial"/>
          <w:b/>
          <w:sz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43"/>
      </w:tblGrid>
      <w:tr w:rsidR="00B30FF9" w:rsidRPr="007D5752" w:rsidTr="00BC687B">
        <w:trPr>
          <w:trHeight w:val="774"/>
        </w:trPr>
        <w:tc>
          <w:tcPr>
            <w:tcW w:w="4543" w:type="dxa"/>
          </w:tcPr>
          <w:p w:rsidR="00B30FF9" w:rsidRPr="007D5752" w:rsidRDefault="00B30FF9" w:rsidP="00E925B7">
            <w:pPr>
              <w:jc w:val="center"/>
              <w:rPr>
                <w:rFonts w:eastAsia="Calibri" w:cs="Arial"/>
              </w:rPr>
            </w:pPr>
            <w:r w:rsidRPr="007D5752">
              <w:rPr>
                <w:rFonts w:eastAsia="Calibri" w:cs="Arial"/>
              </w:rPr>
              <w:t>Sarah Le Gouez</w:t>
            </w:r>
          </w:p>
          <w:p w:rsidR="00B30FF9" w:rsidRPr="007D5752" w:rsidRDefault="00B30FF9" w:rsidP="00E925B7">
            <w:pPr>
              <w:jc w:val="center"/>
              <w:rPr>
                <w:rFonts w:eastAsia="Calibri" w:cs="Arial"/>
              </w:rPr>
            </w:pPr>
            <w:r w:rsidRPr="007D5752">
              <w:rPr>
                <w:rFonts w:eastAsia="Calibri" w:cs="Arial"/>
              </w:rPr>
              <w:t>06 13 90 75 48</w:t>
            </w:r>
          </w:p>
          <w:p w:rsidR="00B30FF9" w:rsidRPr="007D5752" w:rsidRDefault="001B6CB7" w:rsidP="00E925B7">
            <w:pPr>
              <w:jc w:val="center"/>
              <w:rPr>
                <w:rFonts w:cs="Arial"/>
                <w:b/>
              </w:rPr>
            </w:pPr>
            <w:hyperlink r:id="rId9" w:history="1">
              <w:r w:rsidR="00B30FF9" w:rsidRPr="007D5752">
                <w:rPr>
                  <w:rStyle w:val="Lienhypertexte"/>
                  <w:rFonts w:cs="Arial"/>
                </w:rPr>
                <w:t>slegouez@cercledelepargne.fr</w:t>
              </w:r>
            </w:hyperlink>
          </w:p>
        </w:tc>
        <w:tc>
          <w:tcPr>
            <w:tcW w:w="4543" w:type="dxa"/>
          </w:tcPr>
          <w:p w:rsidR="00B30FF9" w:rsidRPr="007D5752" w:rsidRDefault="00B30FF9" w:rsidP="00DC2495">
            <w:pPr>
              <w:jc w:val="center"/>
              <w:rPr>
                <w:rFonts w:cs="Arial"/>
              </w:rPr>
            </w:pPr>
            <w:r w:rsidRPr="007D5752">
              <w:rPr>
                <w:rFonts w:cs="Arial"/>
              </w:rPr>
              <w:t>Philippe Crevel</w:t>
            </w:r>
          </w:p>
          <w:p w:rsidR="00B30FF9" w:rsidRPr="007D5752" w:rsidRDefault="00B30FF9" w:rsidP="00DC2495">
            <w:pPr>
              <w:jc w:val="center"/>
              <w:rPr>
                <w:rFonts w:cs="Arial"/>
              </w:rPr>
            </w:pPr>
            <w:r w:rsidRPr="007D5752">
              <w:rPr>
                <w:rFonts w:cs="Arial"/>
              </w:rPr>
              <w:t>06 03 84 70 36</w:t>
            </w:r>
          </w:p>
          <w:p w:rsidR="00B30FF9" w:rsidRPr="007D5752" w:rsidRDefault="001B6CB7" w:rsidP="00DC2495">
            <w:pPr>
              <w:jc w:val="center"/>
              <w:rPr>
                <w:rFonts w:cs="Arial"/>
                <w:b/>
              </w:rPr>
            </w:pPr>
            <w:hyperlink r:id="rId10" w:history="1">
              <w:r w:rsidR="00B30FF9" w:rsidRPr="007D5752">
                <w:rPr>
                  <w:rStyle w:val="Lienhypertexte"/>
                </w:rPr>
                <w:t>pcrevel@cercledelepargne.fr</w:t>
              </w:r>
            </w:hyperlink>
          </w:p>
        </w:tc>
      </w:tr>
    </w:tbl>
    <w:p w:rsidR="00630266" w:rsidRDefault="00630266" w:rsidP="00BC687B">
      <w:pPr>
        <w:spacing w:after="160" w:line="259" w:lineRule="auto"/>
        <w:jc w:val="left"/>
      </w:pPr>
    </w:p>
    <w:p w:rsidR="00BC687B" w:rsidRPr="008F5ABC" w:rsidRDefault="00BC687B" w:rsidP="00BC687B">
      <w:pPr>
        <w:spacing w:after="160" w:line="259" w:lineRule="auto"/>
        <w:jc w:val="left"/>
      </w:pPr>
    </w:p>
    <w:sectPr w:rsidR="00BC687B" w:rsidRPr="008F5ABC" w:rsidSect="00E925B7">
      <w:headerReference w:type="default" r:id="rId11"/>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B7" w:rsidRDefault="001B6CB7" w:rsidP="007A29E8">
      <w:r>
        <w:separator/>
      </w:r>
    </w:p>
  </w:endnote>
  <w:endnote w:type="continuationSeparator" w:id="0">
    <w:p w:rsidR="001B6CB7" w:rsidRDefault="001B6CB7" w:rsidP="007A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E8" w:rsidRPr="00E925B7" w:rsidRDefault="007A29E8" w:rsidP="00E925B7">
    <w:pPr>
      <w:pStyle w:val="Pieddepage"/>
      <w:jc w:val="center"/>
      <w:rPr>
        <w:b/>
        <w:sz w:val="16"/>
        <w:szCs w:val="16"/>
      </w:rPr>
    </w:pPr>
    <w:r w:rsidRPr="00E925B7">
      <w:rPr>
        <w:b/>
        <w:sz w:val="16"/>
        <w:szCs w:val="16"/>
      </w:rPr>
      <w:t>Le Cercle de l’Épargne, de la Retraite et de la Prévoyance</w:t>
    </w:r>
  </w:p>
  <w:p w:rsidR="007A29E8" w:rsidRPr="00E925B7" w:rsidRDefault="007A29E8" w:rsidP="00E925B7">
    <w:pPr>
      <w:pStyle w:val="Pieddepage"/>
      <w:jc w:val="center"/>
      <w:rPr>
        <w:sz w:val="16"/>
        <w:szCs w:val="16"/>
      </w:rPr>
    </w:pPr>
    <w:r w:rsidRPr="00E925B7">
      <w:rPr>
        <w:sz w:val="16"/>
        <w:szCs w:val="16"/>
      </w:rPr>
      <w:t xml:space="preserve">104/110, Boulevard Haussmann </w:t>
    </w:r>
    <w:r w:rsidRPr="00E925B7">
      <w:rPr>
        <w:rFonts w:cs="Arial"/>
        <w:sz w:val="16"/>
        <w:szCs w:val="16"/>
      </w:rPr>
      <w:t>•</w:t>
    </w:r>
    <w:r w:rsidRPr="00E925B7">
      <w:rPr>
        <w:sz w:val="16"/>
        <w:szCs w:val="16"/>
      </w:rPr>
      <w:t xml:space="preserve"> 75008 Paris</w:t>
    </w:r>
  </w:p>
  <w:p w:rsidR="007A29E8" w:rsidRPr="00E925B7" w:rsidRDefault="007A29E8" w:rsidP="00E925B7">
    <w:pPr>
      <w:pStyle w:val="Pieddepage"/>
      <w:jc w:val="center"/>
      <w:rPr>
        <w:sz w:val="16"/>
        <w:szCs w:val="16"/>
      </w:rPr>
    </w:pPr>
    <w:r w:rsidRPr="00E925B7">
      <w:rPr>
        <w:sz w:val="16"/>
        <w:szCs w:val="16"/>
      </w:rPr>
      <w:t xml:space="preserve">01 76 60 85 39 </w:t>
    </w:r>
    <w:r w:rsidRPr="00E925B7">
      <w:rPr>
        <w:rFonts w:cs="Arial"/>
        <w:sz w:val="16"/>
        <w:szCs w:val="16"/>
      </w:rPr>
      <w:t>• 01 76 60 86 05</w:t>
    </w:r>
    <w:r w:rsidRPr="00E925B7">
      <w:rPr>
        <w:sz w:val="16"/>
        <w:szCs w:val="16"/>
      </w:rPr>
      <w:t xml:space="preserve"> </w:t>
    </w:r>
  </w:p>
  <w:p w:rsidR="00B30FF9" w:rsidRPr="00E925B7" w:rsidRDefault="001B6CB7" w:rsidP="00E925B7">
    <w:pPr>
      <w:pStyle w:val="Pieddepage"/>
      <w:jc w:val="center"/>
      <w:rPr>
        <w:sz w:val="16"/>
        <w:szCs w:val="16"/>
      </w:rPr>
    </w:pPr>
    <w:hyperlink r:id="rId1" w:history="1">
      <w:r w:rsidR="007A29E8" w:rsidRPr="00E925B7">
        <w:rPr>
          <w:rStyle w:val="Lienhypertexte"/>
          <w:sz w:val="16"/>
          <w:szCs w:val="16"/>
        </w:rPr>
        <w:t>www.cercledelepargne.com</w:t>
      </w:r>
    </w:hyperlink>
    <w:r w:rsidR="007A29E8" w:rsidRPr="00E925B7">
      <w:rPr>
        <w:sz w:val="16"/>
        <w:szCs w:val="16"/>
      </w:rPr>
      <w:t xml:space="preserve"> </w:t>
    </w:r>
    <w:r w:rsidR="007A29E8" w:rsidRPr="00E925B7">
      <w:rPr>
        <w:rFonts w:cs="Arial"/>
        <w:sz w:val="16"/>
        <w:szCs w:val="16"/>
      </w:rPr>
      <w:t xml:space="preserve">• </w:t>
    </w:r>
    <w:hyperlink r:id="rId2" w:history="1">
      <w:r w:rsidR="00B30FF9" w:rsidRPr="00E925B7">
        <w:rPr>
          <w:rStyle w:val="Lienhypertexte"/>
          <w:sz w:val="16"/>
          <w:szCs w:val="16"/>
        </w:rPr>
        <w:t>contact@cercledelepargne.fr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B7" w:rsidRDefault="001B6CB7" w:rsidP="007A29E8">
      <w:r>
        <w:separator/>
      </w:r>
    </w:p>
  </w:footnote>
  <w:footnote w:type="continuationSeparator" w:id="0">
    <w:p w:rsidR="001B6CB7" w:rsidRDefault="001B6CB7" w:rsidP="007A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E8" w:rsidRDefault="00DC2495" w:rsidP="00DC2495">
    <w:pPr>
      <w:pStyle w:val="En-tte"/>
    </w:pPr>
    <w:r>
      <w:rPr>
        <w:noProof/>
        <w:lang w:eastAsia="fr-FR"/>
      </w:rPr>
      <w:drawing>
        <wp:anchor distT="0" distB="0" distL="114300" distR="114300" simplePos="0" relativeHeight="251658240" behindDoc="1" locked="0" layoutInCell="1" allowOverlap="1" wp14:anchorId="259C94A6" wp14:editId="02FF723C">
          <wp:simplePos x="0" y="0"/>
          <wp:positionH relativeFrom="column">
            <wp:posOffset>4443730</wp:posOffset>
          </wp:positionH>
          <wp:positionV relativeFrom="paragraph">
            <wp:posOffset>-37465</wp:posOffset>
          </wp:positionV>
          <wp:extent cx="1331595" cy="582295"/>
          <wp:effectExtent l="0" t="0" r="1905" b="0"/>
          <wp:wrapTight wrapText="bothSides">
            <wp:wrapPolygon edited="0">
              <wp:start x="2472" y="707"/>
              <wp:lineTo x="618" y="7067"/>
              <wp:lineTo x="618" y="10600"/>
              <wp:lineTo x="2472" y="13426"/>
              <wp:lineTo x="2472" y="14133"/>
              <wp:lineTo x="1236" y="20493"/>
              <wp:lineTo x="21013" y="20493"/>
              <wp:lineTo x="21322" y="16253"/>
              <wp:lineTo x="19468" y="15546"/>
              <wp:lineTo x="4635" y="13426"/>
              <wp:lineTo x="6489" y="10600"/>
              <wp:lineTo x="6180" y="7067"/>
              <wp:lineTo x="4326" y="707"/>
              <wp:lineTo x="2472" y="707"/>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_V_01_2400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82295"/>
                  </a:xfrm>
                  <a:prstGeom prst="rect">
                    <a:avLst/>
                  </a:prstGeom>
                </pic:spPr>
              </pic:pic>
            </a:graphicData>
          </a:graphic>
          <wp14:sizeRelH relativeFrom="page">
            <wp14:pctWidth>0</wp14:pctWidth>
          </wp14:sizeRelH>
          <wp14:sizeRelV relativeFrom="page">
            <wp14:pctHeight>0</wp14:pctHeight>
          </wp14:sizeRelV>
        </wp:anchor>
      </w:drawing>
    </w:r>
    <w:r w:rsidR="007A6645">
      <w:rPr>
        <w:noProof/>
        <w:lang w:eastAsia="fr-FR"/>
      </w:rPr>
      <w:drawing>
        <wp:inline distT="0" distB="0" distL="0" distR="0">
          <wp:extent cx="1800000" cy="61428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ND30_10 C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614286"/>
                  </a:xfrm>
                  <a:prstGeom prst="rect">
                    <a:avLst/>
                  </a:prstGeom>
                </pic:spPr>
              </pic:pic>
            </a:graphicData>
          </a:graphic>
        </wp:inline>
      </w:drawing>
    </w:r>
  </w:p>
  <w:p w:rsidR="007A29E8" w:rsidRDefault="007A29E8" w:rsidP="00E925B7">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89A"/>
    <w:multiLevelType w:val="hybridMultilevel"/>
    <w:tmpl w:val="0DC48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8E11F7"/>
    <w:multiLevelType w:val="hybridMultilevel"/>
    <w:tmpl w:val="C4568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994FDE"/>
    <w:multiLevelType w:val="hybridMultilevel"/>
    <w:tmpl w:val="7FD4739C"/>
    <w:lvl w:ilvl="0" w:tplc="DA30FB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9810CC1"/>
    <w:multiLevelType w:val="hybridMultilevel"/>
    <w:tmpl w:val="8B46A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31"/>
    <w:rsid w:val="0001133B"/>
    <w:rsid w:val="0001796B"/>
    <w:rsid w:val="000202DA"/>
    <w:rsid w:val="00020F2A"/>
    <w:rsid w:val="0002162A"/>
    <w:rsid w:val="00025130"/>
    <w:rsid w:val="00025A04"/>
    <w:rsid w:val="00032450"/>
    <w:rsid w:val="0005198A"/>
    <w:rsid w:val="000561AA"/>
    <w:rsid w:val="00057597"/>
    <w:rsid w:val="000603B8"/>
    <w:rsid w:val="00067148"/>
    <w:rsid w:val="0007617F"/>
    <w:rsid w:val="00080462"/>
    <w:rsid w:val="0008385D"/>
    <w:rsid w:val="000844C9"/>
    <w:rsid w:val="00084F50"/>
    <w:rsid w:val="00092B15"/>
    <w:rsid w:val="00095918"/>
    <w:rsid w:val="000B12ED"/>
    <w:rsid w:val="000B2E97"/>
    <w:rsid w:val="000B3458"/>
    <w:rsid w:val="000B4A7F"/>
    <w:rsid w:val="000C45E0"/>
    <w:rsid w:val="000C7F32"/>
    <w:rsid w:val="000D1614"/>
    <w:rsid w:val="000D512D"/>
    <w:rsid w:val="000D7E67"/>
    <w:rsid w:val="000E5EA4"/>
    <w:rsid w:val="000F5B49"/>
    <w:rsid w:val="000F5E34"/>
    <w:rsid w:val="00100338"/>
    <w:rsid w:val="0010270A"/>
    <w:rsid w:val="00114B5C"/>
    <w:rsid w:val="00117B51"/>
    <w:rsid w:val="00117E97"/>
    <w:rsid w:val="00121704"/>
    <w:rsid w:val="001229E8"/>
    <w:rsid w:val="00124B78"/>
    <w:rsid w:val="00131543"/>
    <w:rsid w:val="0013688F"/>
    <w:rsid w:val="001410D5"/>
    <w:rsid w:val="00146667"/>
    <w:rsid w:val="001508A8"/>
    <w:rsid w:val="001631DA"/>
    <w:rsid w:val="00163583"/>
    <w:rsid w:val="0016431A"/>
    <w:rsid w:val="00166A92"/>
    <w:rsid w:val="001676E3"/>
    <w:rsid w:val="00172415"/>
    <w:rsid w:val="00176567"/>
    <w:rsid w:val="0018154A"/>
    <w:rsid w:val="00182131"/>
    <w:rsid w:val="00192D86"/>
    <w:rsid w:val="001A0C3D"/>
    <w:rsid w:val="001A5D72"/>
    <w:rsid w:val="001A745E"/>
    <w:rsid w:val="001B003C"/>
    <w:rsid w:val="001B3838"/>
    <w:rsid w:val="001B6230"/>
    <w:rsid w:val="001B65A7"/>
    <w:rsid w:val="001B6CB7"/>
    <w:rsid w:val="001C0506"/>
    <w:rsid w:val="001C2D86"/>
    <w:rsid w:val="001C35F5"/>
    <w:rsid w:val="001F62CC"/>
    <w:rsid w:val="001F6F47"/>
    <w:rsid w:val="00212B37"/>
    <w:rsid w:val="002140F1"/>
    <w:rsid w:val="00220885"/>
    <w:rsid w:val="00242B61"/>
    <w:rsid w:val="002600CC"/>
    <w:rsid w:val="002612B4"/>
    <w:rsid w:val="00262224"/>
    <w:rsid w:val="00275096"/>
    <w:rsid w:val="00297D08"/>
    <w:rsid w:val="002A56DA"/>
    <w:rsid w:val="002A65D6"/>
    <w:rsid w:val="002B52F3"/>
    <w:rsid w:val="002C78DB"/>
    <w:rsid w:val="002D3616"/>
    <w:rsid w:val="002D5D68"/>
    <w:rsid w:val="002D7CC8"/>
    <w:rsid w:val="002E0509"/>
    <w:rsid w:val="002E0EFE"/>
    <w:rsid w:val="002E289E"/>
    <w:rsid w:val="002E37D1"/>
    <w:rsid w:val="002E687A"/>
    <w:rsid w:val="002F26E6"/>
    <w:rsid w:val="00301EA0"/>
    <w:rsid w:val="0030716E"/>
    <w:rsid w:val="00315978"/>
    <w:rsid w:val="00324185"/>
    <w:rsid w:val="00326ACA"/>
    <w:rsid w:val="0033210F"/>
    <w:rsid w:val="003353A7"/>
    <w:rsid w:val="00351686"/>
    <w:rsid w:val="00355571"/>
    <w:rsid w:val="003574A0"/>
    <w:rsid w:val="00367DE3"/>
    <w:rsid w:val="00392FB0"/>
    <w:rsid w:val="00393F11"/>
    <w:rsid w:val="00397D4E"/>
    <w:rsid w:val="003A23E0"/>
    <w:rsid w:val="003B73BA"/>
    <w:rsid w:val="003C3C33"/>
    <w:rsid w:val="003C6905"/>
    <w:rsid w:val="003C7C43"/>
    <w:rsid w:val="003D6D88"/>
    <w:rsid w:val="003F21BF"/>
    <w:rsid w:val="003F6705"/>
    <w:rsid w:val="00401E91"/>
    <w:rsid w:val="00403376"/>
    <w:rsid w:val="004047DB"/>
    <w:rsid w:val="00413942"/>
    <w:rsid w:val="004204FD"/>
    <w:rsid w:val="00425504"/>
    <w:rsid w:val="0042678F"/>
    <w:rsid w:val="004317D3"/>
    <w:rsid w:val="004342CF"/>
    <w:rsid w:val="00434C6F"/>
    <w:rsid w:val="0043785D"/>
    <w:rsid w:val="00457860"/>
    <w:rsid w:val="004613CC"/>
    <w:rsid w:val="00471A5E"/>
    <w:rsid w:val="00472E0E"/>
    <w:rsid w:val="00481F62"/>
    <w:rsid w:val="00483510"/>
    <w:rsid w:val="00483A02"/>
    <w:rsid w:val="00486768"/>
    <w:rsid w:val="00492631"/>
    <w:rsid w:val="00494F46"/>
    <w:rsid w:val="004A008B"/>
    <w:rsid w:val="004A0F4B"/>
    <w:rsid w:val="004B15A5"/>
    <w:rsid w:val="004B31DE"/>
    <w:rsid w:val="004C4830"/>
    <w:rsid w:val="004D112D"/>
    <w:rsid w:val="004D50D5"/>
    <w:rsid w:val="004E5F33"/>
    <w:rsid w:val="004E7D74"/>
    <w:rsid w:val="0050104B"/>
    <w:rsid w:val="00504276"/>
    <w:rsid w:val="005155BF"/>
    <w:rsid w:val="00516D2A"/>
    <w:rsid w:val="00534416"/>
    <w:rsid w:val="00542859"/>
    <w:rsid w:val="00543104"/>
    <w:rsid w:val="005530EA"/>
    <w:rsid w:val="00560CED"/>
    <w:rsid w:val="0056790E"/>
    <w:rsid w:val="00567C1E"/>
    <w:rsid w:val="005813C9"/>
    <w:rsid w:val="00592B74"/>
    <w:rsid w:val="005A0086"/>
    <w:rsid w:val="005B5D5C"/>
    <w:rsid w:val="005D1186"/>
    <w:rsid w:val="005D1363"/>
    <w:rsid w:val="005D5EDC"/>
    <w:rsid w:val="00601ECE"/>
    <w:rsid w:val="00612B7B"/>
    <w:rsid w:val="00613C26"/>
    <w:rsid w:val="00614C02"/>
    <w:rsid w:val="00615343"/>
    <w:rsid w:val="006166C2"/>
    <w:rsid w:val="00630266"/>
    <w:rsid w:val="00632F00"/>
    <w:rsid w:val="0064483D"/>
    <w:rsid w:val="0064569D"/>
    <w:rsid w:val="00651D93"/>
    <w:rsid w:val="006618AA"/>
    <w:rsid w:val="0067246B"/>
    <w:rsid w:val="00682688"/>
    <w:rsid w:val="006829FF"/>
    <w:rsid w:val="006842D2"/>
    <w:rsid w:val="006A1889"/>
    <w:rsid w:val="006B15A1"/>
    <w:rsid w:val="006C0611"/>
    <w:rsid w:val="006D0537"/>
    <w:rsid w:val="006D51C7"/>
    <w:rsid w:val="006D7EF2"/>
    <w:rsid w:val="006E02CA"/>
    <w:rsid w:val="006E0D51"/>
    <w:rsid w:val="006E2807"/>
    <w:rsid w:val="00701B19"/>
    <w:rsid w:val="00701BBC"/>
    <w:rsid w:val="00707912"/>
    <w:rsid w:val="00710CCF"/>
    <w:rsid w:val="00712A25"/>
    <w:rsid w:val="00712D0D"/>
    <w:rsid w:val="00722340"/>
    <w:rsid w:val="00731990"/>
    <w:rsid w:val="007322F7"/>
    <w:rsid w:val="00737325"/>
    <w:rsid w:val="00740724"/>
    <w:rsid w:val="007466D4"/>
    <w:rsid w:val="00753E11"/>
    <w:rsid w:val="0075500B"/>
    <w:rsid w:val="00763071"/>
    <w:rsid w:val="00763D75"/>
    <w:rsid w:val="007873B8"/>
    <w:rsid w:val="00792953"/>
    <w:rsid w:val="00796C00"/>
    <w:rsid w:val="007A29E8"/>
    <w:rsid w:val="007A4F80"/>
    <w:rsid w:val="007A62E2"/>
    <w:rsid w:val="007A6645"/>
    <w:rsid w:val="007A76D4"/>
    <w:rsid w:val="007B52C9"/>
    <w:rsid w:val="007B6CFF"/>
    <w:rsid w:val="007B7D1E"/>
    <w:rsid w:val="007C1F7B"/>
    <w:rsid w:val="007C57EE"/>
    <w:rsid w:val="007C67BE"/>
    <w:rsid w:val="007D0030"/>
    <w:rsid w:val="007D1E7C"/>
    <w:rsid w:val="007D48B3"/>
    <w:rsid w:val="007D5752"/>
    <w:rsid w:val="007E1737"/>
    <w:rsid w:val="007E2E60"/>
    <w:rsid w:val="007E76C5"/>
    <w:rsid w:val="00804441"/>
    <w:rsid w:val="008224F9"/>
    <w:rsid w:val="008229DF"/>
    <w:rsid w:val="00832CC6"/>
    <w:rsid w:val="00833972"/>
    <w:rsid w:val="008347DC"/>
    <w:rsid w:val="008441E3"/>
    <w:rsid w:val="00847445"/>
    <w:rsid w:val="00851B4B"/>
    <w:rsid w:val="00852DFB"/>
    <w:rsid w:val="00855E5C"/>
    <w:rsid w:val="00872C57"/>
    <w:rsid w:val="00872EFA"/>
    <w:rsid w:val="00873F30"/>
    <w:rsid w:val="00874688"/>
    <w:rsid w:val="0088606E"/>
    <w:rsid w:val="00890DC9"/>
    <w:rsid w:val="0089332A"/>
    <w:rsid w:val="0089593D"/>
    <w:rsid w:val="008A2228"/>
    <w:rsid w:val="008B1EB2"/>
    <w:rsid w:val="008B3ADA"/>
    <w:rsid w:val="008B6C31"/>
    <w:rsid w:val="008C20F7"/>
    <w:rsid w:val="008C38CA"/>
    <w:rsid w:val="008C63A3"/>
    <w:rsid w:val="008D05E6"/>
    <w:rsid w:val="008E24F0"/>
    <w:rsid w:val="008E4257"/>
    <w:rsid w:val="008F3D03"/>
    <w:rsid w:val="008F5ABC"/>
    <w:rsid w:val="008F5DCD"/>
    <w:rsid w:val="0090702E"/>
    <w:rsid w:val="00916636"/>
    <w:rsid w:val="00916EC6"/>
    <w:rsid w:val="0092069E"/>
    <w:rsid w:val="00934D13"/>
    <w:rsid w:val="00946CFB"/>
    <w:rsid w:val="00950AB2"/>
    <w:rsid w:val="00954A0E"/>
    <w:rsid w:val="009577AC"/>
    <w:rsid w:val="00963A08"/>
    <w:rsid w:val="00970A1E"/>
    <w:rsid w:val="00987E11"/>
    <w:rsid w:val="0099001D"/>
    <w:rsid w:val="00993BA7"/>
    <w:rsid w:val="009C2949"/>
    <w:rsid w:val="009C6E94"/>
    <w:rsid w:val="009D3D93"/>
    <w:rsid w:val="009D7A94"/>
    <w:rsid w:val="009E6AFA"/>
    <w:rsid w:val="009E7A94"/>
    <w:rsid w:val="009F27C7"/>
    <w:rsid w:val="009F37D2"/>
    <w:rsid w:val="009F73C1"/>
    <w:rsid w:val="00A100F6"/>
    <w:rsid w:val="00A11561"/>
    <w:rsid w:val="00A11F81"/>
    <w:rsid w:val="00A16476"/>
    <w:rsid w:val="00A27FF0"/>
    <w:rsid w:val="00A549A7"/>
    <w:rsid w:val="00A578B3"/>
    <w:rsid w:val="00A608DF"/>
    <w:rsid w:val="00A77499"/>
    <w:rsid w:val="00A81FAE"/>
    <w:rsid w:val="00A87207"/>
    <w:rsid w:val="00A90BA2"/>
    <w:rsid w:val="00AA0A63"/>
    <w:rsid w:val="00AA7EBC"/>
    <w:rsid w:val="00AB0CA4"/>
    <w:rsid w:val="00AD7BB7"/>
    <w:rsid w:val="00AE4023"/>
    <w:rsid w:val="00AF473B"/>
    <w:rsid w:val="00B06CD0"/>
    <w:rsid w:val="00B07B06"/>
    <w:rsid w:val="00B15CB6"/>
    <w:rsid w:val="00B166B5"/>
    <w:rsid w:val="00B205CC"/>
    <w:rsid w:val="00B21FBE"/>
    <w:rsid w:val="00B22B6E"/>
    <w:rsid w:val="00B30FF9"/>
    <w:rsid w:val="00B341D5"/>
    <w:rsid w:val="00B46C38"/>
    <w:rsid w:val="00B505B4"/>
    <w:rsid w:val="00B51244"/>
    <w:rsid w:val="00B525EF"/>
    <w:rsid w:val="00B536E4"/>
    <w:rsid w:val="00B56519"/>
    <w:rsid w:val="00B621C3"/>
    <w:rsid w:val="00B70532"/>
    <w:rsid w:val="00B74669"/>
    <w:rsid w:val="00B84746"/>
    <w:rsid w:val="00B9025E"/>
    <w:rsid w:val="00B9281B"/>
    <w:rsid w:val="00B96DA6"/>
    <w:rsid w:val="00B97862"/>
    <w:rsid w:val="00B97EB9"/>
    <w:rsid w:val="00BA3AA7"/>
    <w:rsid w:val="00BA57FE"/>
    <w:rsid w:val="00BB256C"/>
    <w:rsid w:val="00BB7412"/>
    <w:rsid w:val="00BC103C"/>
    <w:rsid w:val="00BC687B"/>
    <w:rsid w:val="00BC7ABF"/>
    <w:rsid w:val="00BD1BDB"/>
    <w:rsid w:val="00BD3D1C"/>
    <w:rsid w:val="00BD6335"/>
    <w:rsid w:val="00BF2918"/>
    <w:rsid w:val="00C038BC"/>
    <w:rsid w:val="00C25C25"/>
    <w:rsid w:val="00C26884"/>
    <w:rsid w:val="00C3011A"/>
    <w:rsid w:val="00C4351D"/>
    <w:rsid w:val="00C4405D"/>
    <w:rsid w:val="00C45178"/>
    <w:rsid w:val="00C47476"/>
    <w:rsid w:val="00C518DE"/>
    <w:rsid w:val="00C52664"/>
    <w:rsid w:val="00C5570D"/>
    <w:rsid w:val="00C60815"/>
    <w:rsid w:val="00C609E5"/>
    <w:rsid w:val="00C668D1"/>
    <w:rsid w:val="00C674EA"/>
    <w:rsid w:val="00C73F42"/>
    <w:rsid w:val="00C74DB3"/>
    <w:rsid w:val="00C74F23"/>
    <w:rsid w:val="00C7627C"/>
    <w:rsid w:val="00C853C4"/>
    <w:rsid w:val="00CA0788"/>
    <w:rsid w:val="00CB6611"/>
    <w:rsid w:val="00CC237B"/>
    <w:rsid w:val="00CC4033"/>
    <w:rsid w:val="00CC5718"/>
    <w:rsid w:val="00CD13C4"/>
    <w:rsid w:val="00CD2E72"/>
    <w:rsid w:val="00CD40A5"/>
    <w:rsid w:val="00CD5713"/>
    <w:rsid w:val="00CE2A3E"/>
    <w:rsid w:val="00CE3C99"/>
    <w:rsid w:val="00CF7C87"/>
    <w:rsid w:val="00D00DAA"/>
    <w:rsid w:val="00D04074"/>
    <w:rsid w:val="00D058CE"/>
    <w:rsid w:val="00D145E7"/>
    <w:rsid w:val="00D2079C"/>
    <w:rsid w:val="00D36588"/>
    <w:rsid w:val="00D36FE4"/>
    <w:rsid w:val="00D414AA"/>
    <w:rsid w:val="00D472A3"/>
    <w:rsid w:val="00D52BC1"/>
    <w:rsid w:val="00D57B86"/>
    <w:rsid w:val="00D7000C"/>
    <w:rsid w:val="00D74739"/>
    <w:rsid w:val="00D754B3"/>
    <w:rsid w:val="00D7641A"/>
    <w:rsid w:val="00D77A90"/>
    <w:rsid w:val="00D81497"/>
    <w:rsid w:val="00D84A1A"/>
    <w:rsid w:val="00D8723A"/>
    <w:rsid w:val="00D873FC"/>
    <w:rsid w:val="00D97959"/>
    <w:rsid w:val="00DC2495"/>
    <w:rsid w:val="00DC72F2"/>
    <w:rsid w:val="00DE182C"/>
    <w:rsid w:val="00DE5147"/>
    <w:rsid w:val="00DF7188"/>
    <w:rsid w:val="00E21E2A"/>
    <w:rsid w:val="00E301A3"/>
    <w:rsid w:val="00E30CD3"/>
    <w:rsid w:val="00E30E40"/>
    <w:rsid w:val="00E52187"/>
    <w:rsid w:val="00E60C93"/>
    <w:rsid w:val="00E829EC"/>
    <w:rsid w:val="00E83B86"/>
    <w:rsid w:val="00E86755"/>
    <w:rsid w:val="00E86C23"/>
    <w:rsid w:val="00E925B7"/>
    <w:rsid w:val="00E934DD"/>
    <w:rsid w:val="00E95B3F"/>
    <w:rsid w:val="00EA7093"/>
    <w:rsid w:val="00EB02E3"/>
    <w:rsid w:val="00EC2A71"/>
    <w:rsid w:val="00EC6A1E"/>
    <w:rsid w:val="00ED1576"/>
    <w:rsid w:val="00ED6F8B"/>
    <w:rsid w:val="00F064C2"/>
    <w:rsid w:val="00F1780C"/>
    <w:rsid w:val="00F35FD4"/>
    <w:rsid w:val="00F46AC8"/>
    <w:rsid w:val="00F50289"/>
    <w:rsid w:val="00F53272"/>
    <w:rsid w:val="00F6480A"/>
    <w:rsid w:val="00F667A0"/>
    <w:rsid w:val="00F83E9D"/>
    <w:rsid w:val="00F85D11"/>
    <w:rsid w:val="00F91268"/>
    <w:rsid w:val="00F93806"/>
    <w:rsid w:val="00FA15F4"/>
    <w:rsid w:val="00FA4453"/>
    <w:rsid w:val="00FA4683"/>
    <w:rsid w:val="00FA6D63"/>
    <w:rsid w:val="00FB40A5"/>
    <w:rsid w:val="00FB474E"/>
    <w:rsid w:val="00FC3CB3"/>
    <w:rsid w:val="00FC4801"/>
    <w:rsid w:val="00FE1E07"/>
    <w:rsid w:val="00FE1FDA"/>
    <w:rsid w:val="00FE5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42"/>
    <w:pPr>
      <w:spacing w:after="0" w:line="240" w:lineRule="auto"/>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B5C"/>
    <w:pPr>
      <w:ind w:left="720"/>
      <w:contextualSpacing/>
    </w:pPr>
  </w:style>
  <w:style w:type="character" w:styleId="Lienhypertexte">
    <w:name w:val="Hyperlink"/>
    <w:basedOn w:val="Policepardfaut"/>
    <w:uiPriority w:val="99"/>
    <w:unhideWhenUsed/>
    <w:rsid w:val="00852DFB"/>
    <w:rPr>
      <w:color w:val="0000FF"/>
      <w:u w:val="single"/>
    </w:rPr>
  </w:style>
  <w:style w:type="character" w:customStyle="1" w:styleId="apple-converted-space">
    <w:name w:val="apple-converted-space"/>
    <w:basedOn w:val="Policepardfaut"/>
    <w:rsid w:val="005530EA"/>
  </w:style>
  <w:style w:type="character" w:styleId="lev">
    <w:name w:val="Strong"/>
    <w:basedOn w:val="Policepardfaut"/>
    <w:uiPriority w:val="22"/>
    <w:qFormat/>
    <w:rsid w:val="005530EA"/>
    <w:rPr>
      <w:b/>
      <w:bCs/>
    </w:rPr>
  </w:style>
  <w:style w:type="paragraph" w:styleId="Textedebulles">
    <w:name w:val="Balloon Text"/>
    <w:basedOn w:val="Normal"/>
    <w:link w:val="TextedebullesCar"/>
    <w:uiPriority w:val="99"/>
    <w:semiHidden/>
    <w:unhideWhenUsed/>
    <w:rsid w:val="00712A25"/>
    <w:rPr>
      <w:rFonts w:ascii="Tahoma" w:hAnsi="Tahoma" w:cs="Tahoma"/>
      <w:sz w:val="16"/>
      <w:szCs w:val="16"/>
    </w:rPr>
  </w:style>
  <w:style w:type="character" w:customStyle="1" w:styleId="TextedebullesCar">
    <w:name w:val="Texte de bulles Car"/>
    <w:basedOn w:val="Policepardfaut"/>
    <w:link w:val="Textedebulles"/>
    <w:uiPriority w:val="99"/>
    <w:semiHidden/>
    <w:rsid w:val="00712A25"/>
    <w:rPr>
      <w:rFonts w:ascii="Tahoma" w:hAnsi="Tahoma" w:cs="Tahoma"/>
      <w:sz w:val="16"/>
      <w:szCs w:val="16"/>
    </w:rPr>
  </w:style>
  <w:style w:type="character" w:styleId="Marquedecommentaire">
    <w:name w:val="annotation reference"/>
    <w:basedOn w:val="Policepardfaut"/>
    <w:uiPriority w:val="99"/>
    <w:semiHidden/>
    <w:unhideWhenUsed/>
    <w:rsid w:val="00712A25"/>
    <w:rPr>
      <w:sz w:val="16"/>
      <w:szCs w:val="16"/>
    </w:rPr>
  </w:style>
  <w:style w:type="paragraph" w:styleId="Commentaire">
    <w:name w:val="annotation text"/>
    <w:basedOn w:val="Normal"/>
    <w:link w:val="CommentaireCar"/>
    <w:uiPriority w:val="99"/>
    <w:semiHidden/>
    <w:unhideWhenUsed/>
    <w:rsid w:val="00712A25"/>
    <w:rPr>
      <w:sz w:val="20"/>
      <w:szCs w:val="20"/>
    </w:rPr>
  </w:style>
  <w:style w:type="character" w:customStyle="1" w:styleId="CommentaireCar">
    <w:name w:val="Commentaire Car"/>
    <w:basedOn w:val="Policepardfaut"/>
    <w:link w:val="Commentaire"/>
    <w:uiPriority w:val="99"/>
    <w:semiHidden/>
    <w:rsid w:val="00712A2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12A25"/>
    <w:rPr>
      <w:b/>
      <w:bCs/>
    </w:rPr>
  </w:style>
  <w:style w:type="character" w:customStyle="1" w:styleId="ObjetducommentaireCar">
    <w:name w:val="Objet du commentaire Car"/>
    <w:basedOn w:val="CommentaireCar"/>
    <w:link w:val="Objetducommentaire"/>
    <w:uiPriority w:val="99"/>
    <w:semiHidden/>
    <w:rsid w:val="00712A25"/>
    <w:rPr>
      <w:rFonts w:ascii="Arial" w:hAnsi="Arial"/>
      <w:b/>
      <w:bCs/>
      <w:sz w:val="20"/>
      <w:szCs w:val="20"/>
    </w:rPr>
  </w:style>
  <w:style w:type="paragraph" w:styleId="En-tte">
    <w:name w:val="header"/>
    <w:basedOn w:val="Normal"/>
    <w:link w:val="En-tteCar"/>
    <w:uiPriority w:val="99"/>
    <w:unhideWhenUsed/>
    <w:rsid w:val="007A29E8"/>
    <w:pPr>
      <w:tabs>
        <w:tab w:val="center" w:pos="4536"/>
        <w:tab w:val="right" w:pos="9072"/>
      </w:tabs>
    </w:pPr>
  </w:style>
  <w:style w:type="character" w:customStyle="1" w:styleId="En-tteCar">
    <w:name w:val="En-tête Car"/>
    <w:basedOn w:val="Policepardfaut"/>
    <w:link w:val="En-tte"/>
    <w:uiPriority w:val="99"/>
    <w:rsid w:val="007A29E8"/>
    <w:rPr>
      <w:rFonts w:ascii="Arial" w:hAnsi="Arial"/>
      <w:sz w:val="24"/>
    </w:rPr>
  </w:style>
  <w:style w:type="paragraph" w:styleId="Pieddepage">
    <w:name w:val="footer"/>
    <w:basedOn w:val="Normal"/>
    <w:link w:val="PieddepageCar"/>
    <w:uiPriority w:val="99"/>
    <w:unhideWhenUsed/>
    <w:rsid w:val="007A29E8"/>
    <w:pPr>
      <w:tabs>
        <w:tab w:val="center" w:pos="4536"/>
        <w:tab w:val="right" w:pos="9072"/>
      </w:tabs>
    </w:pPr>
  </w:style>
  <w:style w:type="character" w:customStyle="1" w:styleId="PieddepageCar">
    <w:name w:val="Pied de page Car"/>
    <w:basedOn w:val="Policepardfaut"/>
    <w:link w:val="Pieddepage"/>
    <w:uiPriority w:val="99"/>
    <w:rsid w:val="007A29E8"/>
    <w:rPr>
      <w:rFonts w:ascii="Arial" w:hAnsi="Arial"/>
      <w:sz w:val="24"/>
    </w:rPr>
  </w:style>
  <w:style w:type="table" w:styleId="Grilledutableau">
    <w:name w:val="Table Grid"/>
    <w:basedOn w:val="TableauNormal"/>
    <w:uiPriority w:val="39"/>
    <w:rsid w:val="00B3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7627C"/>
    <w:pPr>
      <w:spacing w:after="0" w:line="240" w:lineRule="auto"/>
      <w:jc w:val="both"/>
    </w:pPr>
    <w:rPr>
      <w:rFonts w:ascii="Arial" w:hAnsi="Arial"/>
      <w:sz w:val="24"/>
    </w:rPr>
  </w:style>
  <w:style w:type="character" w:styleId="Lienhypertextesuivivisit">
    <w:name w:val="FollowedHyperlink"/>
    <w:basedOn w:val="Policepardfaut"/>
    <w:uiPriority w:val="99"/>
    <w:semiHidden/>
    <w:unhideWhenUsed/>
    <w:rsid w:val="00BC68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42"/>
    <w:pPr>
      <w:spacing w:after="0" w:line="240" w:lineRule="auto"/>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B5C"/>
    <w:pPr>
      <w:ind w:left="720"/>
      <w:contextualSpacing/>
    </w:pPr>
  </w:style>
  <w:style w:type="character" w:styleId="Lienhypertexte">
    <w:name w:val="Hyperlink"/>
    <w:basedOn w:val="Policepardfaut"/>
    <w:uiPriority w:val="99"/>
    <w:unhideWhenUsed/>
    <w:rsid w:val="00852DFB"/>
    <w:rPr>
      <w:color w:val="0000FF"/>
      <w:u w:val="single"/>
    </w:rPr>
  </w:style>
  <w:style w:type="character" w:customStyle="1" w:styleId="apple-converted-space">
    <w:name w:val="apple-converted-space"/>
    <w:basedOn w:val="Policepardfaut"/>
    <w:rsid w:val="005530EA"/>
  </w:style>
  <w:style w:type="character" w:styleId="lev">
    <w:name w:val="Strong"/>
    <w:basedOn w:val="Policepardfaut"/>
    <w:uiPriority w:val="22"/>
    <w:qFormat/>
    <w:rsid w:val="005530EA"/>
    <w:rPr>
      <w:b/>
      <w:bCs/>
    </w:rPr>
  </w:style>
  <w:style w:type="paragraph" w:styleId="Textedebulles">
    <w:name w:val="Balloon Text"/>
    <w:basedOn w:val="Normal"/>
    <w:link w:val="TextedebullesCar"/>
    <w:uiPriority w:val="99"/>
    <w:semiHidden/>
    <w:unhideWhenUsed/>
    <w:rsid w:val="00712A25"/>
    <w:rPr>
      <w:rFonts w:ascii="Tahoma" w:hAnsi="Tahoma" w:cs="Tahoma"/>
      <w:sz w:val="16"/>
      <w:szCs w:val="16"/>
    </w:rPr>
  </w:style>
  <w:style w:type="character" w:customStyle="1" w:styleId="TextedebullesCar">
    <w:name w:val="Texte de bulles Car"/>
    <w:basedOn w:val="Policepardfaut"/>
    <w:link w:val="Textedebulles"/>
    <w:uiPriority w:val="99"/>
    <w:semiHidden/>
    <w:rsid w:val="00712A25"/>
    <w:rPr>
      <w:rFonts w:ascii="Tahoma" w:hAnsi="Tahoma" w:cs="Tahoma"/>
      <w:sz w:val="16"/>
      <w:szCs w:val="16"/>
    </w:rPr>
  </w:style>
  <w:style w:type="character" w:styleId="Marquedecommentaire">
    <w:name w:val="annotation reference"/>
    <w:basedOn w:val="Policepardfaut"/>
    <w:uiPriority w:val="99"/>
    <w:semiHidden/>
    <w:unhideWhenUsed/>
    <w:rsid w:val="00712A25"/>
    <w:rPr>
      <w:sz w:val="16"/>
      <w:szCs w:val="16"/>
    </w:rPr>
  </w:style>
  <w:style w:type="paragraph" w:styleId="Commentaire">
    <w:name w:val="annotation text"/>
    <w:basedOn w:val="Normal"/>
    <w:link w:val="CommentaireCar"/>
    <w:uiPriority w:val="99"/>
    <w:semiHidden/>
    <w:unhideWhenUsed/>
    <w:rsid w:val="00712A25"/>
    <w:rPr>
      <w:sz w:val="20"/>
      <w:szCs w:val="20"/>
    </w:rPr>
  </w:style>
  <w:style w:type="character" w:customStyle="1" w:styleId="CommentaireCar">
    <w:name w:val="Commentaire Car"/>
    <w:basedOn w:val="Policepardfaut"/>
    <w:link w:val="Commentaire"/>
    <w:uiPriority w:val="99"/>
    <w:semiHidden/>
    <w:rsid w:val="00712A2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12A25"/>
    <w:rPr>
      <w:b/>
      <w:bCs/>
    </w:rPr>
  </w:style>
  <w:style w:type="character" w:customStyle="1" w:styleId="ObjetducommentaireCar">
    <w:name w:val="Objet du commentaire Car"/>
    <w:basedOn w:val="CommentaireCar"/>
    <w:link w:val="Objetducommentaire"/>
    <w:uiPriority w:val="99"/>
    <w:semiHidden/>
    <w:rsid w:val="00712A25"/>
    <w:rPr>
      <w:rFonts w:ascii="Arial" w:hAnsi="Arial"/>
      <w:b/>
      <w:bCs/>
      <w:sz w:val="20"/>
      <w:szCs w:val="20"/>
    </w:rPr>
  </w:style>
  <w:style w:type="paragraph" w:styleId="En-tte">
    <w:name w:val="header"/>
    <w:basedOn w:val="Normal"/>
    <w:link w:val="En-tteCar"/>
    <w:uiPriority w:val="99"/>
    <w:unhideWhenUsed/>
    <w:rsid w:val="007A29E8"/>
    <w:pPr>
      <w:tabs>
        <w:tab w:val="center" w:pos="4536"/>
        <w:tab w:val="right" w:pos="9072"/>
      </w:tabs>
    </w:pPr>
  </w:style>
  <w:style w:type="character" w:customStyle="1" w:styleId="En-tteCar">
    <w:name w:val="En-tête Car"/>
    <w:basedOn w:val="Policepardfaut"/>
    <w:link w:val="En-tte"/>
    <w:uiPriority w:val="99"/>
    <w:rsid w:val="007A29E8"/>
    <w:rPr>
      <w:rFonts w:ascii="Arial" w:hAnsi="Arial"/>
      <w:sz w:val="24"/>
    </w:rPr>
  </w:style>
  <w:style w:type="paragraph" w:styleId="Pieddepage">
    <w:name w:val="footer"/>
    <w:basedOn w:val="Normal"/>
    <w:link w:val="PieddepageCar"/>
    <w:uiPriority w:val="99"/>
    <w:unhideWhenUsed/>
    <w:rsid w:val="007A29E8"/>
    <w:pPr>
      <w:tabs>
        <w:tab w:val="center" w:pos="4536"/>
        <w:tab w:val="right" w:pos="9072"/>
      </w:tabs>
    </w:pPr>
  </w:style>
  <w:style w:type="character" w:customStyle="1" w:styleId="PieddepageCar">
    <w:name w:val="Pied de page Car"/>
    <w:basedOn w:val="Policepardfaut"/>
    <w:link w:val="Pieddepage"/>
    <w:uiPriority w:val="99"/>
    <w:rsid w:val="007A29E8"/>
    <w:rPr>
      <w:rFonts w:ascii="Arial" w:hAnsi="Arial"/>
      <w:sz w:val="24"/>
    </w:rPr>
  </w:style>
  <w:style w:type="table" w:styleId="Grilledutableau">
    <w:name w:val="Table Grid"/>
    <w:basedOn w:val="TableauNormal"/>
    <w:uiPriority w:val="39"/>
    <w:rsid w:val="00B3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7627C"/>
    <w:pPr>
      <w:spacing w:after="0" w:line="240" w:lineRule="auto"/>
      <w:jc w:val="both"/>
    </w:pPr>
    <w:rPr>
      <w:rFonts w:ascii="Arial" w:hAnsi="Arial"/>
      <w:sz w:val="24"/>
    </w:rPr>
  </w:style>
  <w:style w:type="character" w:styleId="Lienhypertextesuivivisit">
    <w:name w:val="FollowedHyperlink"/>
    <w:basedOn w:val="Policepardfaut"/>
    <w:uiPriority w:val="99"/>
    <w:semiHidden/>
    <w:unhideWhenUsed/>
    <w:rsid w:val="00BC6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4030">
      <w:bodyDiv w:val="1"/>
      <w:marLeft w:val="0"/>
      <w:marRight w:val="0"/>
      <w:marTop w:val="0"/>
      <w:marBottom w:val="0"/>
      <w:divBdr>
        <w:top w:val="none" w:sz="0" w:space="0" w:color="auto"/>
        <w:left w:val="none" w:sz="0" w:space="0" w:color="auto"/>
        <w:bottom w:val="none" w:sz="0" w:space="0" w:color="auto"/>
        <w:right w:val="none" w:sz="0" w:space="0" w:color="auto"/>
      </w:divBdr>
      <w:divsChild>
        <w:div w:id="1402633042">
          <w:marLeft w:val="0"/>
          <w:marRight w:val="0"/>
          <w:marTop w:val="0"/>
          <w:marBottom w:val="0"/>
          <w:divBdr>
            <w:top w:val="none" w:sz="0" w:space="0" w:color="auto"/>
            <w:left w:val="none" w:sz="0" w:space="0" w:color="auto"/>
            <w:bottom w:val="none" w:sz="0" w:space="0" w:color="auto"/>
            <w:right w:val="none" w:sz="0" w:space="0" w:color="auto"/>
          </w:divBdr>
        </w:div>
        <w:div w:id="599484123">
          <w:marLeft w:val="0"/>
          <w:marRight w:val="0"/>
          <w:marTop w:val="0"/>
          <w:marBottom w:val="0"/>
          <w:divBdr>
            <w:top w:val="none" w:sz="0" w:space="0" w:color="auto"/>
            <w:left w:val="none" w:sz="0" w:space="0" w:color="auto"/>
            <w:bottom w:val="none" w:sz="0" w:space="0" w:color="auto"/>
            <w:right w:val="none" w:sz="0" w:space="0" w:color="auto"/>
          </w:divBdr>
        </w:div>
        <w:div w:id="2118212467">
          <w:marLeft w:val="0"/>
          <w:marRight w:val="0"/>
          <w:marTop w:val="0"/>
          <w:marBottom w:val="0"/>
          <w:divBdr>
            <w:top w:val="none" w:sz="0" w:space="0" w:color="auto"/>
            <w:left w:val="none" w:sz="0" w:space="0" w:color="auto"/>
            <w:bottom w:val="none" w:sz="0" w:space="0" w:color="auto"/>
            <w:right w:val="none" w:sz="0" w:space="0" w:color="auto"/>
          </w:divBdr>
        </w:div>
        <w:div w:id="1804536378">
          <w:marLeft w:val="0"/>
          <w:marRight w:val="0"/>
          <w:marTop w:val="0"/>
          <w:marBottom w:val="0"/>
          <w:divBdr>
            <w:top w:val="none" w:sz="0" w:space="0" w:color="auto"/>
            <w:left w:val="none" w:sz="0" w:space="0" w:color="auto"/>
            <w:bottom w:val="none" w:sz="0" w:space="0" w:color="auto"/>
            <w:right w:val="none" w:sz="0" w:space="0" w:color="auto"/>
          </w:divBdr>
        </w:div>
        <w:div w:id="1205169340">
          <w:marLeft w:val="0"/>
          <w:marRight w:val="0"/>
          <w:marTop w:val="0"/>
          <w:marBottom w:val="0"/>
          <w:divBdr>
            <w:top w:val="none" w:sz="0" w:space="0" w:color="auto"/>
            <w:left w:val="none" w:sz="0" w:space="0" w:color="auto"/>
            <w:bottom w:val="none" w:sz="0" w:space="0" w:color="auto"/>
            <w:right w:val="none" w:sz="0" w:space="0" w:color="auto"/>
          </w:divBdr>
          <w:divsChild>
            <w:div w:id="1389189331">
              <w:marLeft w:val="0"/>
              <w:marRight w:val="0"/>
              <w:marTop w:val="0"/>
              <w:marBottom w:val="0"/>
              <w:divBdr>
                <w:top w:val="none" w:sz="0" w:space="0" w:color="auto"/>
                <w:left w:val="none" w:sz="0" w:space="0" w:color="auto"/>
                <w:bottom w:val="none" w:sz="0" w:space="0" w:color="auto"/>
                <w:right w:val="none" w:sz="0" w:space="0" w:color="auto"/>
              </w:divBdr>
            </w:div>
            <w:div w:id="11917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crevel@cercledelepargne.fr" TargetMode="External"/><Relationship Id="rId4" Type="http://schemas.microsoft.com/office/2007/relationships/stylesWithEffects" Target="stylesWithEffects.xml"/><Relationship Id="rId9" Type="http://schemas.openxmlformats.org/officeDocument/2006/relationships/hyperlink" Target="mailto:slegouez@cercledelepargn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cercledelepargne.fr" TargetMode="External"/><Relationship Id="rId1" Type="http://schemas.openxmlformats.org/officeDocument/2006/relationships/hyperlink" Target="http://www.cercledelepargn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9343-DD28-41E0-B259-71B18EBF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1242</Words>
  <Characters>6834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AG2RLM</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Crevel</dc:creator>
  <cp:lastModifiedBy>LE GOUEZ Sarah (EXTERNE)</cp:lastModifiedBy>
  <cp:revision>4</cp:revision>
  <cp:lastPrinted>2016-05-31T16:56:00Z</cp:lastPrinted>
  <dcterms:created xsi:type="dcterms:W3CDTF">2016-05-31T17:04:00Z</dcterms:created>
  <dcterms:modified xsi:type="dcterms:W3CDTF">2016-06-01T10:04:00Z</dcterms:modified>
</cp:coreProperties>
</file>